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20" w:lineRule="exact"/>
        <w:jc w:val="center"/>
        <w:outlineLvl w:val="0"/>
        <w:rPr>
          <w:rFonts w:hint="eastAsia" w:eastAsia="华文中宋"/>
          <w:color w:val="000000"/>
          <w:sz w:val="28"/>
          <w:szCs w:val="28"/>
        </w:rPr>
      </w:pPr>
      <w:bookmarkStart w:id="0" w:name="_Toc7843"/>
      <w:bookmarkStart w:id="1" w:name="_Toc45896462"/>
      <w:bookmarkStart w:id="2" w:name="_Toc45906809"/>
      <w:bookmarkStart w:id="3" w:name="_Toc45895914"/>
      <w:bookmarkStart w:id="4" w:name="_Toc45894981"/>
      <w:bookmarkStart w:id="5" w:name="_Toc45905537"/>
      <w:bookmarkStart w:id="6" w:name="_Toc11911"/>
      <w:bookmarkStart w:id="7" w:name="_Toc45896516"/>
      <w:bookmarkStart w:id="8" w:name="_Toc45905338"/>
      <w:bookmarkStart w:id="9" w:name="_Toc5033"/>
      <w:bookmarkStart w:id="10" w:name="_Toc32577_WPSOffice_Level1"/>
      <w:bookmarkStart w:id="11" w:name="_Toc12725_WPSOffice_Level1"/>
      <w:bookmarkStart w:id="12" w:name="_Toc8720_WPSOffice_Level1"/>
      <w:bookmarkStart w:id="13" w:name="_Toc30230_WPSOffice_Level1"/>
      <w:bookmarkStart w:id="14" w:name="_Toc8784_WPSOffice_Level1"/>
      <w:bookmarkStart w:id="15" w:name="_Toc8851_WPSOffice_Level1"/>
      <w:r>
        <w:rPr>
          <w:rFonts w:hint="eastAsia" w:eastAsia="仿宋"/>
          <w:color w:val="000000"/>
          <w:sz w:val="32"/>
          <w:szCs w:val="32"/>
        </w:rPr>
        <w:t>附件4：</w:t>
      </w:r>
      <w:bookmarkEnd w:id="0"/>
      <w:r>
        <w:rPr>
          <w:rFonts w:eastAsia="华文中宋"/>
          <w:color w:val="000000"/>
          <w:sz w:val="28"/>
          <w:szCs w:val="28"/>
        </w:rPr>
        <w:t>《</w:t>
      </w:r>
      <w:r>
        <w:rPr>
          <w:rFonts w:hint="eastAsia" w:eastAsia="华文中宋"/>
          <w:color w:val="000000"/>
          <w:sz w:val="28"/>
          <w:szCs w:val="28"/>
        </w:rPr>
        <w:t>南宁国际会展中心现场施工安全管理违约处置办法</w:t>
      </w:r>
      <w:r>
        <w:rPr>
          <w:rFonts w:eastAsia="华文中宋"/>
          <w:color w:val="000000"/>
          <w:sz w:val="28"/>
          <w:szCs w:val="28"/>
        </w:rPr>
        <w:t>》告知书</w:t>
      </w:r>
      <w:bookmarkEnd w:id="1"/>
      <w:bookmarkEnd w:id="2"/>
      <w:bookmarkEnd w:id="3"/>
      <w:bookmarkEnd w:id="4"/>
      <w:bookmarkEnd w:id="5"/>
      <w:bookmarkEnd w:id="6"/>
      <w:bookmarkEnd w:id="7"/>
      <w:bookmarkEnd w:id="8"/>
    </w:p>
    <w:tbl>
      <w:tblPr>
        <w:tblStyle w:val="3"/>
        <w:tblW w:w="9229" w:type="dxa"/>
        <w:tblInd w:w="0" w:type="dxa"/>
        <w:tblLayout w:type="fixed"/>
        <w:tblCellMar>
          <w:top w:w="0" w:type="dxa"/>
          <w:left w:w="0" w:type="dxa"/>
          <w:bottom w:w="0" w:type="dxa"/>
          <w:right w:w="0" w:type="dxa"/>
        </w:tblCellMar>
      </w:tblPr>
      <w:tblGrid>
        <w:gridCol w:w="540"/>
        <w:gridCol w:w="668"/>
        <w:gridCol w:w="640"/>
        <w:gridCol w:w="2987"/>
        <w:gridCol w:w="2126"/>
        <w:gridCol w:w="2268"/>
      </w:tblGrid>
      <w:tr>
        <w:tblPrEx>
          <w:tblCellMar>
            <w:top w:w="0" w:type="dxa"/>
            <w:left w:w="0" w:type="dxa"/>
            <w:bottom w:w="0" w:type="dxa"/>
            <w:right w:w="0" w:type="dxa"/>
          </w:tblCellMar>
        </w:tblPrEx>
        <w:trPr>
          <w:trHeight w:val="4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序号</w:t>
            </w:r>
          </w:p>
        </w:tc>
        <w:tc>
          <w:tcPr>
            <w:tcW w:w="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类型</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违约程度</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违约行为</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整改措施</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处置办法</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w:t>
            </w:r>
          </w:p>
        </w:tc>
        <w:tc>
          <w:tcPr>
            <w:tcW w:w="6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第一部分</w:t>
            </w:r>
            <w:r>
              <w:rPr>
                <w:rFonts w:hint="eastAsia" w:ascii="仿宋_GB2312" w:hAnsi="仿宋_GB2312" w:eastAsia="仿宋_GB2312" w:cs="仿宋_GB2312"/>
                <w:kern w:val="0"/>
                <w:sz w:val="22"/>
                <w:szCs w:val="22"/>
                <w:lang w:bidi="ar"/>
              </w:rPr>
              <w:br w:type="textWrapping"/>
            </w:r>
            <w:r>
              <w:rPr>
                <w:rFonts w:hint="eastAsia" w:ascii="仿宋_GB2312" w:hAnsi="仿宋_GB2312" w:eastAsia="仿宋_GB2312" w:cs="仿宋_GB2312"/>
                <w:kern w:val="0"/>
                <w:sz w:val="22"/>
                <w:szCs w:val="22"/>
                <w:lang w:bidi="ar"/>
              </w:rPr>
              <w:t>施工安全</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一级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未佩戴安全帽进入施工现场登高未佩戴安全绳</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口头教育警告并要求立即整改</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视情节严重扣除特装违约赔偿金50-200元/人次</w:t>
            </w:r>
          </w:p>
        </w:tc>
      </w:tr>
      <w:tr>
        <w:tblPrEx>
          <w:tblCellMar>
            <w:top w:w="0" w:type="dxa"/>
            <w:left w:w="0" w:type="dxa"/>
            <w:bottom w:w="0" w:type="dxa"/>
            <w:right w:w="0"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二级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高空作业没有使用合格安全的提升工具及操作平台，未派专人指挥、看护、设置安全区，未规范着装</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约谈参展单位负责人，下发整改通知书限时整改</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扣除特装违约赔偿金500-3000 元</w:t>
            </w:r>
          </w:p>
        </w:tc>
      </w:tr>
      <w:tr>
        <w:tblPrEx>
          <w:tblCellMar>
            <w:top w:w="0" w:type="dxa"/>
            <w:left w:w="0" w:type="dxa"/>
            <w:bottom w:w="0" w:type="dxa"/>
            <w:right w:w="0" w:type="dxa"/>
          </w:tblCellMar>
        </w:tblPrEx>
        <w:trPr>
          <w:trHeight w:val="4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特种作业在施工过程中，无证作业，未采取防护措施</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62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施工企业未经场馆方许可，私自使用场馆结构进行吊挂、捆绑等</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扣除特装违约赔偿金1000-2000元</w:t>
            </w:r>
          </w:p>
        </w:tc>
      </w:tr>
      <w:tr>
        <w:tblPrEx>
          <w:tblCellMar>
            <w:top w:w="0" w:type="dxa"/>
            <w:left w:w="0" w:type="dxa"/>
            <w:bottom w:w="0" w:type="dxa"/>
            <w:right w:w="0" w:type="dxa"/>
          </w:tblCellMar>
        </w:tblPrEx>
        <w:trPr>
          <w:trHeight w:val="4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展位搭建超过中心规定高度</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34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使用自制人字梯或不合格木梯</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64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7</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拒不配合清场人员</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根据逗留时间按加班费（1000元/小时）双倍计费处理</w:t>
            </w:r>
          </w:p>
        </w:tc>
      </w:tr>
      <w:tr>
        <w:tblPrEx>
          <w:tblCellMar>
            <w:top w:w="0" w:type="dxa"/>
            <w:left w:w="0" w:type="dxa"/>
            <w:bottom w:w="0" w:type="dxa"/>
            <w:right w:w="0" w:type="dxa"/>
          </w:tblCellMar>
        </w:tblPrEx>
        <w:trPr>
          <w:trHeight w:val="668"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损坏场馆设施、设备</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按实际损坏赔偿，情节严重加重处理</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34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9</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三级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未办理进馆手续，私自进馆</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断电停工整改处理，直到整改合格后，方可恢复供电和施工</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不按报审设计图纸施工</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扣除全部特装违约赔偿金</w:t>
            </w:r>
          </w:p>
        </w:tc>
      </w:tr>
      <w:tr>
        <w:tblPrEx>
          <w:tblCellMar>
            <w:top w:w="0" w:type="dxa"/>
            <w:left w:w="0" w:type="dxa"/>
            <w:bottom w:w="0" w:type="dxa"/>
            <w:right w:w="0" w:type="dxa"/>
          </w:tblCellMar>
        </w:tblPrEx>
        <w:trPr>
          <w:trHeight w:val="69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11</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不遵守施工安全管理规定 , 连续 2 次不接受管理人员口头或书面警告的单位及个人</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94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12</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整体推倒展位野蛮撤展，因操作不当导致周围展具损坏或人员受伤</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酌情扣除特装违约赔偿金3000-5000 元，情节严重扣除全部特装违约赔偿金</w:t>
            </w:r>
          </w:p>
        </w:tc>
      </w:tr>
      <w:tr>
        <w:tblPrEx>
          <w:tblCellMar>
            <w:top w:w="0" w:type="dxa"/>
            <w:left w:w="0" w:type="dxa"/>
            <w:bottom w:w="0" w:type="dxa"/>
            <w:right w:w="0"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13</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拆卸展位未配置看护人员</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扣除特装违约赔偿金500-3000元</w:t>
            </w:r>
          </w:p>
        </w:tc>
      </w:tr>
      <w:tr>
        <w:tblPrEx>
          <w:tblCellMar>
            <w:top w:w="0" w:type="dxa"/>
            <w:left w:w="0" w:type="dxa"/>
            <w:bottom w:w="0" w:type="dxa"/>
            <w:right w:w="0" w:type="dxa"/>
          </w:tblCellMar>
        </w:tblPrEx>
        <w:trPr>
          <w:trHeight w:val="918"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14</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施工作业过程中，违约施工造成安全事故</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对事故现场隔离处理，断电停工，由参展单位负责，承担全部责任</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627"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15</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违约一证多用或冒用证件</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没收证件，并取消入场作业资格</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31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16</w:t>
            </w:r>
          </w:p>
        </w:tc>
        <w:tc>
          <w:tcPr>
            <w:tcW w:w="6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第二部分</w:t>
            </w:r>
            <w:r>
              <w:rPr>
                <w:rFonts w:hint="eastAsia" w:ascii="仿宋_GB2312" w:hAnsi="仿宋_GB2312" w:eastAsia="仿宋_GB2312" w:cs="仿宋_GB2312"/>
                <w:kern w:val="0"/>
                <w:sz w:val="22"/>
                <w:szCs w:val="22"/>
                <w:lang w:bidi="ar"/>
              </w:rPr>
              <w:br w:type="textWrapping"/>
            </w:r>
            <w:r>
              <w:rPr>
                <w:rFonts w:hint="eastAsia" w:ascii="仿宋_GB2312" w:hAnsi="仿宋_GB2312" w:eastAsia="仿宋_GB2312" w:cs="仿宋_GB2312"/>
                <w:kern w:val="0"/>
                <w:sz w:val="22"/>
                <w:szCs w:val="22"/>
                <w:lang w:bidi="ar"/>
              </w:rPr>
              <w:t>结构安全</w:t>
            </w: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二级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私自拆卸标准展位展架、展具及各项硬件设施</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约谈参展单位负责人，下发整改通知书限时整改</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按标准展位造价赔偿</w:t>
            </w:r>
          </w:p>
        </w:tc>
      </w:tr>
      <w:tr>
        <w:tblPrEx>
          <w:tblCellMar>
            <w:top w:w="0" w:type="dxa"/>
            <w:left w:w="0" w:type="dxa"/>
            <w:bottom w:w="0" w:type="dxa"/>
            <w:right w:w="0" w:type="dxa"/>
          </w:tblCellMar>
        </w:tblPrEx>
        <w:trPr>
          <w:trHeight w:val="628"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17</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未经审批私自在标准展位加高、增加附属搭建物</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酌情扣除特装违约赔偿金200-500元。</w:t>
            </w:r>
          </w:p>
        </w:tc>
      </w:tr>
      <w:tr>
        <w:tblPrEx>
          <w:tblCellMar>
            <w:top w:w="0" w:type="dxa"/>
            <w:left w:w="0" w:type="dxa"/>
            <w:bottom w:w="0" w:type="dxa"/>
            <w:right w:w="0" w:type="dxa"/>
          </w:tblCellMar>
        </w:tblPrEx>
        <w:trPr>
          <w:trHeight w:val="58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18</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三级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展台结构不牢固产生倒塌现象（展位结构强度未达到荷载强度）</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立即断电停工并隔离处理，并追究相应责任</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扣除全部特装违约赔偿金，</w:t>
            </w:r>
          </w:p>
        </w:tc>
      </w:tr>
      <w:tr>
        <w:tblPrEx>
          <w:tblCellMar>
            <w:top w:w="0" w:type="dxa"/>
            <w:left w:w="0" w:type="dxa"/>
            <w:bottom w:w="0" w:type="dxa"/>
            <w:right w:w="0" w:type="dxa"/>
          </w:tblCellMar>
        </w:tblPrEx>
        <w:trPr>
          <w:trHeight w:val="155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19</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展台出现倾斜、下垂、开裂现象</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立即隔离处理，断电停工整改，直到整改合格后，方可恢复供电和施工，若造成安全生产事故的扣除全部违约赔偿金</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造成安全生产事故的扣除全部特装违约赔偿金</w:t>
            </w:r>
          </w:p>
        </w:tc>
      </w:tr>
      <w:tr>
        <w:tblPrEx>
          <w:tblCellMar>
            <w:top w:w="0" w:type="dxa"/>
            <w:left w:w="0" w:type="dxa"/>
            <w:bottom w:w="0" w:type="dxa"/>
            <w:right w:w="0" w:type="dxa"/>
          </w:tblCellMar>
        </w:tblPrEx>
        <w:trPr>
          <w:trHeight w:val="40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特装展位如出现结构安全隐患</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立即断电停工整改处理，直到整改合格后，方可恢复供电和施工</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44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21</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特装跨度超安全距离未整改的</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扣除全部特装违约赔偿金</w:t>
            </w:r>
          </w:p>
        </w:tc>
      </w:tr>
      <w:tr>
        <w:tblPrEx>
          <w:tblCellMar>
            <w:top w:w="0" w:type="dxa"/>
            <w:left w:w="0" w:type="dxa"/>
            <w:bottom w:w="0" w:type="dxa"/>
            <w:right w:w="0" w:type="dxa"/>
          </w:tblCellMar>
        </w:tblPrEx>
        <w:trPr>
          <w:trHeight w:val="1277"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22</w:t>
            </w:r>
          </w:p>
        </w:tc>
        <w:tc>
          <w:tcPr>
            <w:tcW w:w="6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第三部分</w:t>
            </w:r>
            <w:r>
              <w:rPr>
                <w:rFonts w:hint="eastAsia" w:ascii="仿宋_GB2312" w:hAnsi="仿宋_GB2312" w:eastAsia="仿宋_GB2312" w:cs="仿宋_GB2312"/>
                <w:kern w:val="0"/>
                <w:sz w:val="22"/>
                <w:szCs w:val="22"/>
                <w:lang w:bidi="ar"/>
              </w:rPr>
              <w:br w:type="textWrapping"/>
            </w:r>
            <w:r>
              <w:rPr>
                <w:rFonts w:hint="eastAsia" w:ascii="仿宋_GB2312" w:hAnsi="仿宋_GB2312" w:eastAsia="仿宋_GB2312" w:cs="仿宋_GB2312"/>
                <w:kern w:val="0"/>
                <w:sz w:val="22"/>
                <w:szCs w:val="22"/>
                <w:lang w:bidi="ar"/>
              </w:rPr>
              <w:t>用电安全</w:t>
            </w: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二级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私自跨展位用电</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约谈参展单位负责人，立即断电停工并下发整改通知书限时整改并扣除特装违约赔偿金200元</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扣除特装违约赔偿金200元</w:t>
            </w:r>
          </w:p>
        </w:tc>
      </w:tr>
      <w:tr>
        <w:tblPrEx>
          <w:tblCellMar>
            <w:top w:w="0" w:type="dxa"/>
            <w:left w:w="0" w:type="dxa"/>
            <w:bottom w:w="0" w:type="dxa"/>
            <w:right w:w="0" w:type="dxa"/>
          </w:tblCellMar>
        </w:tblPrEx>
        <w:trPr>
          <w:trHeight w:val="33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23</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施工企业私自揭开展馆地沟盖板</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立即断电停工并下发整改通知书限时整改</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扣除特装违约赔偿金500元</w:t>
            </w:r>
          </w:p>
        </w:tc>
      </w:tr>
      <w:tr>
        <w:tblPrEx>
          <w:tblCellMar>
            <w:top w:w="0" w:type="dxa"/>
            <w:left w:w="0" w:type="dxa"/>
            <w:bottom w:w="0" w:type="dxa"/>
            <w:right w:w="0" w:type="dxa"/>
          </w:tblCellMar>
        </w:tblPrEx>
        <w:trPr>
          <w:trHeight w:val="31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24</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电力接驳未使用铜耳接线的</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31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25</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电线及排插未使用三芯线的</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378"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26</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室外展台用电器具、配电设施无防雨及警示标识</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扣除特装违约赔偿金1000 元</w:t>
            </w:r>
          </w:p>
        </w:tc>
      </w:tr>
      <w:tr>
        <w:tblPrEx>
          <w:tblCellMar>
            <w:top w:w="0" w:type="dxa"/>
            <w:left w:w="0" w:type="dxa"/>
            <w:bottom w:w="0" w:type="dxa"/>
            <w:right w:w="0" w:type="dxa"/>
          </w:tblCellMar>
        </w:tblPrEx>
        <w:trPr>
          <w:trHeight w:val="308"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27</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金属结构未做接地保护</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扣除特装违约赔偿金1000 元</w:t>
            </w:r>
          </w:p>
        </w:tc>
      </w:tr>
      <w:tr>
        <w:tblPrEx>
          <w:tblCellMar>
            <w:top w:w="0" w:type="dxa"/>
            <w:left w:w="0" w:type="dxa"/>
            <w:bottom w:w="0" w:type="dxa"/>
            <w:right w:w="0" w:type="dxa"/>
          </w:tblCellMar>
        </w:tblPrEx>
        <w:trPr>
          <w:trHeight w:val="31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28</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排插未使用插头连接，线路接头未使用接线柱</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扣除特装违约赔偿金1000 元</w:t>
            </w:r>
          </w:p>
        </w:tc>
      </w:tr>
      <w:tr>
        <w:tblPrEx>
          <w:tblCellMar>
            <w:top w:w="0" w:type="dxa"/>
            <w:left w:w="0" w:type="dxa"/>
            <w:bottom w:w="0" w:type="dxa"/>
            <w:right w:w="0" w:type="dxa"/>
          </w:tblCellMar>
        </w:tblPrEx>
        <w:trPr>
          <w:trHeight w:val="337"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29</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使用塑壳整流器</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扣除特装违约赔偿金1000 元</w:t>
            </w:r>
          </w:p>
        </w:tc>
      </w:tr>
      <w:tr>
        <w:tblPrEx>
          <w:tblCellMar>
            <w:top w:w="0" w:type="dxa"/>
            <w:left w:w="0" w:type="dxa"/>
            <w:bottom w:w="0" w:type="dxa"/>
            <w:right w:w="0" w:type="dxa"/>
          </w:tblCellMar>
        </w:tblPrEx>
        <w:trPr>
          <w:trHeight w:val="1137"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三级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现场施工人员私自将水、涂料等杂物倒入地沟中</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一经发现经口头警告无效后直接取消现场施工作业资格禁止入场，并要求立即对地沟中的杂物进行清理</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61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31</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布展期间未经展馆、主场搭建商许可，擅自使用展厅用电</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约谈参展单位负责人，立即断电停工整改处理，直到整改合格后，方可恢复供电和施工</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给予不低于扣除特装违约赔偿金5000元的处置</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32</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施工企业使用不符合电气材料、电力设备或未安装合格漏电保护器</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酌情扣除特装违约赔偿金500-3000元</w:t>
            </w:r>
          </w:p>
        </w:tc>
      </w:tr>
      <w:tr>
        <w:tblPrEx>
          <w:tblCellMar>
            <w:top w:w="0" w:type="dxa"/>
            <w:left w:w="0" w:type="dxa"/>
            <w:bottom w:w="0" w:type="dxa"/>
            <w:right w:w="0" w:type="dxa"/>
          </w:tblCellMar>
        </w:tblPrEx>
        <w:trPr>
          <w:trHeight w:val="588"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33</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使用胶皮双绞线、铝芯线等不合格电线</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酌情扣除特装违约赔偿金500-3000元</w:t>
            </w:r>
          </w:p>
        </w:tc>
      </w:tr>
      <w:tr>
        <w:tblPrEx>
          <w:tblCellMar>
            <w:top w:w="0" w:type="dxa"/>
            <w:left w:w="0" w:type="dxa"/>
            <w:bottom w:w="0" w:type="dxa"/>
            <w:right w:w="0" w:type="dxa"/>
          </w:tblCellMar>
        </w:tblPrEx>
        <w:trPr>
          <w:trHeight w:val="56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34</w:t>
            </w:r>
          </w:p>
        </w:tc>
        <w:tc>
          <w:tcPr>
            <w:tcW w:w="6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第四部分</w:t>
            </w:r>
            <w:r>
              <w:rPr>
                <w:rFonts w:hint="eastAsia" w:ascii="仿宋_GB2312" w:hAnsi="仿宋_GB2312" w:eastAsia="仿宋_GB2312" w:cs="仿宋_GB2312"/>
                <w:kern w:val="0"/>
                <w:sz w:val="22"/>
                <w:szCs w:val="22"/>
                <w:lang w:bidi="ar"/>
              </w:rPr>
              <w:br w:type="textWrapping"/>
            </w:r>
            <w:r>
              <w:rPr>
                <w:rFonts w:hint="eastAsia" w:ascii="仿宋_GB2312" w:hAnsi="仿宋_GB2312" w:eastAsia="仿宋_GB2312" w:cs="仿宋_GB2312"/>
                <w:kern w:val="0"/>
                <w:sz w:val="22"/>
                <w:szCs w:val="22"/>
                <w:lang w:bidi="ar"/>
              </w:rPr>
              <w:t>消防安全</w:t>
            </w: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一级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展台灯箱没有预留散热</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口头教育警告并要求立即整改</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酌情扣除特装违约赔偿金200-2000 元</w:t>
            </w:r>
          </w:p>
        </w:tc>
      </w:tr>
      <w:tr>
        <w:tblPrEx>
          <w:tblCellMar>
            <w:top w:w="0" w:type="dxa"/>
            <w:left w:w="0" w:type="dxa"/>
            <w:bottom w:w="0" w:type="dxa"/>
            <w:right w:w="0" w:type="dxa"/>
          </w:tblCellMar>
        </w:tblPrEx>
        <w:trPr>
          <w:trHeight w:val="552"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35</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在布展规定时间内未将灭火器摆放到位</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按扣除特装违约赔偿金100 元/ 具的标准处置</w:t>
            </w:r>
          </w:p>
        </w:tc>
      </w:tr>
      <w:tr>
        <w:tblPrEx>
          <w:tblCellMar>
            <w:top w:w="0" w:type="dxa"/>
            <w:left w:w="0" w:type="dxa"/>
            <w:bottom w:w="0" w:type="dxa"/>
            <w:right w:w="0" w:type="dxa"/>
          </w:tblCellMar>
        </w:tblPrEx>
        <w:trPr>
          <w:trHeight w:val="52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36</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布撤展和开展期间展览区域严禁吸烟</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扣除特装违约赔偿金50-200 元 / 人次</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酌情扣除特装违约赔偿金50-200 元 / 人次</w:t>
            </w:r>
          </w:p>
        </w:tc>
      </w:tr>
      <w:tr>
        <w:tblPrEx>
          <w:tblCellMar>
            <w:top w:w="0" w:type="dxa"/>
            <w:left w:w="0" w:type="dxa"/>
            <w:bottom w:w="0" w:type="dxa"/>
            <w:right w:w="0" w:type="dxa"/>
          </w:tblCellMar>
        </w:tblPrEx>
        <w:trPr>
          <w:trHeight w:val="81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37</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二级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使用非防火阻燃地毯或无检验报告</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经主场搭建公司检验不合格后，由现场保安负责立即清理出场</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42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38</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未经允许, 私带切割机、焊机电锯、空压机进馆 ,</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立即停工并下发整改通知书限时整改</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酌情扣除特装违约赔偿金500-3000元</w:t>
            </w:r>
          </w:p>
        </w:tc>
      </w:tr>
      <w:tr>
        <w:tblPrEx>
          <w:tblCellMar>
            <w:top w:w="0" w:type="dxa"/>
            <w:left w:w="0" w:type="dxa"/>
            <w:bottom w:w="0" w:type="dxa"/>
            <w:right w:w="0" w:type="dxa"/>
          </w:tblCellMar>
        </w:tblPrEx>
        <w:trPr>
          <w:trHeight w:val="63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39</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搭建展位施工占用通道或消防通道（遮挡消防设施、公共通道、配电柜、以及摄像头等</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酌情扣除特装违约赔偿金500-3000元</w:t>
            </w:r>
          </w:p>
        </w:tc>
      </w:tr>
      <w:tr>
        <w:tblPrEx>
          <w:tblCellMar>
            <w:top w:w="0" w:type="dxa"/>
            <w:left w:w="0" w:type="dxa"/>
            <w:bottom w:w="0" w:type="dxa"/>
            <w:right w:w="0" w:type="dxa"/>
          </w:tblCellMar>
        </w:tblPrEx>
        <w:trPr>
          <w:trHeight w:val="99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40</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三级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使用易燃、易爆物品及违禁物品；私拉乱接电源线、水源等</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约谈参展单位负责人，立即断电停工整改处理，直到整改合格后，方可恢复供电和施工</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酌情扣除特装违约赔偿金1000-5000元，情节严重加重处理</w:t>
            </w:r>
          </w:p>
        </w:tc>
      </w:tr>
      <w:tr>
        <w:tblPrEx>
          <w:tblCellMar>
            <w:top w:w="0" w:type="dxa"/>
            <w:left w:w="0" w:type="dxa"/>
            <w:bottom w:w="0" w:type="dxa"/>
            <w:right w:w="0" w:type="dxa"/>
          </w:tblCellMar>
        </w:tblPrEx>
        <w:trPr>
          <w:trHeight w:val="64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41</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未经许可私自明火作业</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酌情扣除特装违约赔偿金2000-5000元</w:t>
            </w:r>
          </w:p>
        </w:tc>
      </w:tr>
      <w:tr>
        <w:tblPrEx>
          <w:tblCellMar>
            <w:top w:w="0" w:type="dxa"/>
            <w:left w:w="0" w:type="dxa"/>
            <w:bottom w:w="0" w:type="dxa"/>
            <w:right w:w="0" w:type="dxa"/>
          </w:tblCellMar>
        </w:tblPrEx>
        <w:trPr>
          <w:trHeight w:val="63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42</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展位封顶超过 1/3 且拒不整改的</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酌情扣除特装违约赔偿金2000-5000元</w:t>
            </w:r>
          </w:p>
        </w:tc>
      </w:tr>
      <w:tr>
        <w:tblPrEx>
          <w:tblCellMar>
            <w:top w:w="0" w:type="dxa"/>
            <w:left w:w="0" w:type="dxa"/>
            <w:bottom w:w="0" w:type="dxa"/>
            <w:right w:w="0" w:type="dxa"/>
          </w:tblCellMar>
        </w:tblPrEx>
        <w:trPr>
          <w:trHeight w:val="63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43</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易燃物品未做防火阻燃措施</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酌情扣除特装违约赔偿金500-3000元</w:t>
            </w:r>
          </w:p>
        </w:tc>
      </w:tr>
      <w:tr>
        <w:tblPrEx>
          <w:tblCellMar>
            <w:top w:w="0" w:type="dxa"/>
            <w:left w:w="0" w:type="dxa"/>
            <w:bottom w:w="0" w:type="dxa"/>
            <w:right w:w="0" w:type="dxa"/>
          </w:tblCellMar>
        </w:tblPrEx>
        <w:trPr>
          <w:trHeight w:val="617"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44</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展厅内焊接、切割、打磨金属</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酌情扣除特装违约赔偿金1000-5000元</w:t>
            </w:r>
          </w:p>
        </w:tc>
      </w:tr>
      <w:tr>
        <w:tblPrEx>
          <w:tblCellMar>
            <w:top w:w="0" w:type="dxa"/>
            <w:left w:w="0" w:type="dxa"/>
            <w:bottom w:w="0" w:type="dxa"/>
            <w:right w:w="0" w:type="dxa"/>
          </w:tblCellMar>
        </w:tblPrEx>
        <w:trPr>
          <w:trHeight w:val="982"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45</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现场进行木结构切割、油漆喷漆的，</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酌情扣除特装违约赔偿金500-5000元，情节严重加重处理。</w:t>
            </w:r>
          </w:p>
        </w:tc>
      </w:tr>
      <w:tr>
        <w:tblPrEx>
          <w:tblCellMar>
            <w:top w:w="0" w:type="dxa"/>
            <w:left w:w="0" w:type="dxa"/>
            <w:bottom w:w="0" w:type="dxa"/>
            <w:right w:w="0" w:type="dxa"/>
          </w:tblCellMar>
        </w:tblPrEx>
        <w:trPr>
          <w:trHeight w:val="668"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46</w:t>
            </w:r>
          </w:p>
        </w:tc>
        <w:tc>
          <w:tcPr>
            <w:tcW w:w="6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第五部分</w:t>
            </w:r>
            <w:r>
              <w:rPr>
                <w:rFonts w:hint="eastAsia" w:ascii="仿宋_GB2312" w:hAnsi="仿宋_GB2312" w:eastAsia="仿宋_GB2312" w:cs="仿宋_GB2312"/>
                <w:kern w:val="0"/>
                <w:sz w:val="22"/>
                <w:szCs w:val="22"/>
                <w:lang w:bidi="ar"/>
              </w:rPr>
              <w:br w:type="textWrapping"/>
            </w:r>
            <w:r>
              <w:rPr>
                <w:rFonts w:hint="eastAsia" w:ascii="仿宋_GB2312" w:hAnsi="仿宋_GB2312" w:eastAsia="仿宋_GB2312" w:cs="仿宋_GB2312"/>
                <w:kern w:val="0"/>
                <w:sz w:val="22"/>
                <w:szCs w:val="22"/>
                <w:lang w:bidi="ar"/>
              </w:rPr>
              <w:t>文明、环保施工</w:t>
            </w: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一级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展台高于隔壁的装饰物未做美化处理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口头教育警告并要求立即整改</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酌情扣除特装违约赔偿金500-2000 元</w:t>
            </w:r>
          </w:p>
        </w:tc>
      </w:tr>
      <w:tr>
        <w:tblPrEx>
          <w:tblCellMar>
            <w:top w:w="0" w:type="dxa"/>
            <w:left w:w="0" w:type="dxa"/>
            <w:bottom w:w="0" w:type="dxa"/>
            <w:right w:w="0" w:type="dxa"/>
          </w:tblCellMar>
        </w:tblPrEx>
        <w:trPr>
          <w:trHeight w:val="35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47</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sz w:val="22"/>
                <w:szCs w:val="22"/>
              </w:rPr>
            </w:pPr>
          </w:p>
        </w:tc>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二级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布展中违约使用图片或文字拒不配合整改</w:t>
            </w:r>
          </w:p>
        </w:tc>
        <w:tc>
          <w:tcPr>
            <w:tcW w:w="2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约谈参展单位负责人，立即断电停工并下发整改通知书限时整改，造成污损堵塞的按实际损坏赔偿</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扣除全部特装违约赔偿金</w:t>
            </w:r>
          </w:p>
        </w:tc>
      </w:tr>
      <w:tr>
        <w:tblPrEx>
          <w:tblCellMar>
            <w:top w:w="0" w:type="dxa"/>
            <w:left w:w="0" w:type="dxa"/>
            <w:bottom w:w="0" w:type="dxa"/>
            <w:right w:w="0" w:type="dxa"/>
          </w:tblCellMar>
        </w:tblPrEx>
        <w:trPr>
          <w:trHeight w:val="91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48</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特装展位撤展时不按规定拆除展位和清运展位内垃圾，不将垃圾运到指定堆放位置</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按扣除特装违约赔偿金1000 元 /36m2 处理, 不足 36m2 按36m2 计算</w:t>
            </w:r>
          </w:p>
        </w:tc>
      </w:tr>
      <w:tr>
        <w:tblPrEx>
          <w:tblCellMar>
            <w:top w:w="0" w:type="dxa"/>
            <w:left w:w="0" w:type="dxa"/>
            <w:bottom w:w="0" w:type="dxa"/>
            <w:right w:w="0"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未在指定地点倾倒油漆、涂料</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eastAsia" w:ascii="仿宋_GB2312" w:hAnsi="仿宋_GB2312" w:eastAsia="仿宋_GB2312" w:cs="仿宋_GB2312"/>
                <w:sz w:val="22"/>
                <w:szCs w:val="22"/>
              </w:rPr>
            </w:pPr>
          </w:p>
        </w:tc>
      </w:tr>
      <w:tr>
        <w:tblPrEx>
          <w:tblCellMar>
            <w:top w:w="0" w:type="dxa"/>
            <w:left w:w="0" w:type="dxa"/>
            <w:bottom w:w="0" w:type="dxa"/>
            <w:right w:w="0" w:type="dxa"/>
          </w:tblCellMar>
        </w:tblPrEx>
        <w:trPr>
          <w:trHeight w:val="65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49</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sz w:val="22"/>
                <w:szCs w:val="22"/>
              </w:rPr>
            </w:pPr>
          </w:p>
        </w:tc>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sz w:val="22"/>
                <w:szCs w:val="22"/>
              </w:rPr>
            </w:pP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地面墙面污染（油漆、燃料、木胶、贴膜等）</w:t>
            </w:r>
          </w:p>
        </w:tc>
        <w:tc>
          <w:tcPr>
            <w:tcW w:w="2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_GB2312" w:hAnsi="仿宋_GB2312" w:eastAsia="仿宋_GB2312" w:cs="仿宋_GB2312"/>
                <w:sz w:val="22"/>
                <w:szCs w:val="22"/>
              </w:rPr>
            </w:pP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 xml:space="preserve">酌情扣除特装违约赔偿金1000-2000 元 /m2 </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sz w:val="22"/>
                <w:szCs w:val="22"/>
              </w:rPr>
            </w:pPr>
          </w:p>
        </w:tc>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三级</w:t>
            </w:r>
          </w:p>
        </w:tc>
        <w:tc>
          <w:tcPr>
            <w:tcW w:w="2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现场打架斗殴</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现场安保人员立即劝阻隔离，并约谈参展单位负责人</w:t>
            </w:r>
          </w:p>
        </w:tc>
        <w:tc>
          <w:tcPr>
            <w:tcW w:w="22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left"/>
              <w:textAlignment w:val="top"/>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酌情扣除特装违约赔偿金 2000-5000 元</w:t>
            </w:r>
          </w:p>
        </w:tc>
      </w:tr>
      <w:tr>
        <w:tblPrEx>
          <w:tblCellMar>
            <w:top w:w="0" w:type="dxa"/>
            <w:left w:w="0" w:type="dxa"/>
            <w:bottom w:w="0" w:type="dxa"/>
            <w:right w:w="0" w:type="dxa"/>
          </w:tblCellMar>
        </w:tblPrEx>
        <w:trPr>
          <w:trHeight w:val="22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51</w:t>
            </w:r>
          </w:p>
        </w:tc>
        <w:tc>
          <w:tcPr>
            <w:tcW w:w="6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第六部分其他部分</w:t>
            </w:r>
          </w:p>
        </w:tc>
        <w:tc>
          <w:tcPr>
            <w:tcW w:w="802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违约赔偿金被扣除后少于总数一半时，需补交足额特装违约赔偿金方可施工。</w:t>
            </w:r>
          </w:p>
        </w:tc>
      </w:tr>
      <w:tr>
        <w:tblPrEx>
          <w:tblCellMar>
            <w:top w:w="0" w:type="dxa"/>
            <w:left w:w="0" w:type="dxa"/>
            <w:bottom w:w="0" w:type="dxa"/>
            <w:right w:w="0" w:type="dxa"/>
          </w:tblCellMar>
        </w:tblPrEx>
        <w:trPr>
          <w:trHeight w:val="582"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52</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sz w:val="24"/>
              </w:rPr>
            </w:pPr>
          </w:p>
        </w:tc>
        <w:tc>
          <w:tcPr>
            <w:tcW w:w="802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建立现场施工企业违约记录信息档案，5次以上（含）违反本管理办法或产生安全事故，造成严重影响的施工企业须列入施工安全管理失信企业名单，并上报集团公司安全管理部备案，同时提醒参展商谨慎选择施工单位。</w:t>
            </w:r>
          </w:p>
        </w:tc>
      </w:tr>
      <w:tr>
        <w:tblPrEx>
          <w:tblCellMar>
            <w:top w:w="0" w:type="dxa"/>
            <w:left w:w="0" w:type="dxa"/>
            <w:bottom w:w="0" w:type="dxa"/>
            <w:right w:w="0"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53</w:t>
            </w:r>
          </w:p>
        </w:tc>
        <w:tc>
          <w:tcPr>
            <w:tcW w:w="6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_GB2312" w:hAnsi="仿宋_GB2312" w:eastAsia="仿宋_GB2312" w:cs="仿宋_GB2312"/>
                <w:sz w:val="24"/>
              </w:rPr>
            </w:pPr>
          </w:p>
        </w:tc>
        <w:tc>
          <w:tcPr>
            <w:tcW w:w="802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本管理办法从发文之日起执行，最终解释权归广西东博会场馆运营有限公司所有。</w:t>
            </w:r>
          </w:p>
        </w:tc>
      </w:tr>
      <w:tr>
        <w:tblPrEx>
          <w:tblCellMar>
            <w:top w:w="0" w:type="dxa"/>
            <w:left w:w="0" w:type="dxa"/>
            <w:bottom w:w="0" w:type="dxa"/>
            <w:right w:w="0" w:type="dxa"/>
          </w:tblCellMar>
        </w:tblPrEx>
        <w:trPr>
          <w:trHeight w:val="312" w:hRule="atLeast"/>
        </w:trPr>
        <w:tc>
          <w:tcPr>
            <w:tcW w:w="9229"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注：一级违约行为属一般违约行为，经劝阻无效的将按照严重违约行为处理；二级违约行为属严重违约行为，经劝阻无效的将按照特别严重违约行为处理；三级违约行为属特别严重违约行为，如不服从现场管理的则临时取消施工企业现场作业资格禁止入场施工，态度恶劣的按照处置标准酌情进行处理。</w:t>
            </w:r>
          </w:p>
        </w:tc>
      </w:tr>
      <w:tr>
        <w:tblPrEx>
          <w:tblCellMar>
            <w:top w:w="0" w:type="dxa"/>
            <w:left w:w="0" w:type="dxa"/>
            <w:bottom w:w="0" w:type="dxa"/>
            <w:right w:w="0" w:type="dxa"/>
          </w:tblCellMar>
        </w:tblPrEx>
        <w:trPr>
          <w:trHeight w:val="312" w:hRule="atLeast"/>
        </w:trPr>
        <w:tc>
          <w:tcPr>
            <w:tcW w:w="9229"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sz w:val="24"/>
              </w:rPr>
            </w:pPr>
          </w:p>
        </w:tc>
      </w:tr>
      <w:tr>
        <w:tblPrEx>
          <w:tblCellMar>
            <w:top w:w="0" w:type="dxa"/>
            <w:left w:w="0" w:type="dxa"/>
            <w:bottom w:w="0" w:type="dxa"/>
            <w:right w:w="0" w:type="dxa"/>
          </w:tblCellMar>
        </w:tblPrEx>
        <w:trPr>
          <w:trHeight w:val="312" w:hRule="atLeast"/>
        </w:trPr>
        <w:tc>
          <w:tcPr>
            <w:tcW w:w="9229"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sz w:val="24"/>
              </w:rPr>
            </w:pPr>
          </w:p>
        </w:tc>
      </w:tr>
    </w:tbl>
    <w:p>
      <w:pPr>
        <w:spacing w:line="600" w:lineRule="exact"/>
        <w:ind w:firstLine="643" w:firstLineChars="200"/>
        <w:rPr>
          <w:rFonts w:hint="eastAsia" w:ascii="仿宋_GB2312" w:hAnsi="仿宋_GB2312" w:eastAsia="仿宋_GB2312" w:cs="仿宋_GB2312"/>
          <w:b/>
          <w:bCs/>
          <w:kern w:val="0"/>
          <w:sz w:val="32"/>
          <w:szCs w:val="32"/>
          <w:lang w:bidi="ar"/>
        </w:rPr>
      </w:pPr>
    </w:p>
    <w:p>
      <w:pPr>
        <w:spacing w:line="60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bidi="ar"/>
        </w:rPr>
        <w:t>以上《办法》的内容已阅读并知晓，愿意遵守履行。</w:t>
      </w:r>
    </w:p>
    <w:p>
      <w:pPr>
        <w:spacing w:line="360" w:lineRule="auto"/>
        <w:ind w:firstLine="3080" w:firstLineChars="1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施工单位（盖章）：</w:t>
      </w:r>
      <w:r>
        <w:rPr>
          <w:rFonts w:hint="eastAsia" w:ascii="仿宋_GB2312" w:hAnsi="仿宋_GB2312" w:eastAsia="仿宋_GB2312" w:cs="仿宋_GB2312"/>
          <w:color w:val="000000"/>
          <w:sz w:val="28"/>
          <w:szCs w:val="28"/>
          <w:u w:val="single"/>
        </w:rPr>
        <w:t xml:space="preserve">                </w:t>
      </w:r>
    </w:p>
    <w:p>
      <w:pPr>
        <w:spacing w:line="360" w:lineRule="auto"/>
        <w:ind w:firstLine="840" w:firstLineChars="3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施工单位现场负责人（签名盖手印）：</w:t>
      </w:r>
      <w:r>
        <w:rPr>
          <w:rFonts w:hint="eastAsia" w:ascii="仿宋_GB2312" w:hAnsi="仿宋_GB2312" w:eastAsia="仿宋_GB2312" w:cs="仿宋_GB2312"/>
          <w:color w:val="000000"/>
          <w:sz w:val="28"/>
          <w:szCs w:val="28"/>
          <w:u w:val="single"/>
        </w:rPr>
        <w:t xml:space="preserve">                </w:t>
      </w:r>
    </w:p>
    <w:p>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8"/>
          <w:szCs w:val="28"/>
        </w:rPr>
        <w:t>　　　　　　　　　　　          日 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32"/>
          <w:szCs w:val="32"/>
        </w:rPr>
        <w:t xml:space="preserve"> </w:t>
      </w:r>
    </w:p>
    <w:bookmarkEnd w:id="9"/>
    <w:bookmarkEnd w:id="10"/>
    <w:bookmarkEnd w:id="11"/>
    <w:bookmarkEnd w:id="12"/>
    <w:bookmarkEnd w:id="13"/>
    <w:bookmarkEnd w:id="14"/>
    <w:bookmarkEnd w:id="15"/>
    <w:p>
      <w:bookmarkStart w:id="16" w:name="_GoBack"/>
      <w:bookmarkEnd w:id="16"/>
    </w:p>
    <w:sectPr>
      <w:footerReference r:id="rId3" w:type="default"/>
      <w:pgSz w:w="11906" w:h="16838"/>
      <w:pgMar w:top="1701" w:right="1416" w:bottom="1701"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373FB"/>
    <w:rsid w:val="335373FB"/>
    <w:rsid w:val="4B8E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2020-12-08T01:28:00Z</dcterms:created>
  <dc:creator>丸子</dc:creator>
  <cp:lastModifiedBy>丸子</cp:lastModifiedBy>
  <dcterms:modified xsi:type="dcterms:W3CDTF">2020-12-08T01:30:12Z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