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color w:val="auto"/>
          <w:sz w:val="72"/>
          <w:szCs w:val="72"/>
          <w:highlight w:val="none"/>
        </w:rPr>
      </w:pPr>
    </w:p>
    <w:p>
      <w:pPr>
        <w:spacing w:beforeLines="100" w:afterLines="50" w:line="600" w:lineRule="exact"/>
        <w:jc w:val="center"/>
        <w:rPr>
          <w:rFonts w:ascii="宋体" w:hAnsi="宋体"/>
          <w:b/>
          <w:color w:val="auto"/>
          <w:sz w:val="72"/>
          <w:szCs w:val="72"/>
          <w:highlight w:val="none"/>
        </w:rPr>
      </w:pPr>
    </w:p>
    <w:p>
      <w:pPr>
        <w:spacing w:beforeLines="100" w:afterLines="50" w:line="600" w:lineRule="exact"/>
        <w:jc w:val="center"/>
        <w:rPr>
          <w:rFonts w:ascii="宋体" w:hAnsi="宋体"/>
          <w:b/>
          <w:color w:val="auto"/>
          <w:sz w:val="72"/>
          <w:szCs w:val="72"/>
          <w:highlight w:val="none"/>
        </w:rPr>
      </w:pPr>
    </w:p>
    <w:p>
      <w:pPr>
        <w:spacing w:beforeLines="100" w:afterLines="50" w:line="600" w:lineRule="exact"/>
        <w:jc w:val="center"/>
        <w:rPr>
          <w:rFonts w:ascii="宋体" w:hAnsi="宋体"/>
          <w:b/>
          <w:color w:val="auto"/>
          <w:sz w:val="72"/>
          <w:szCs w:val="72"/>
          <w:highlight w:val="none"/>
        </w:rPr>
      </w:pPr>
      <w:r>
        <w:rPr>
          <w:rFonts w:hint="eastAsia" w:ascii="宋体" w:hAnsi="宋体"/>
          <w:b/>
          <w:color w:val="auto"/>
          <w:sz w:val="72"/>
          <w:szCs w:val="72"/>
          <w:highlight w:val="none"/>
        </w:rPr>
        <w:t>谈判采购文件</w:t>
      </w:r>
    </w:p>
    <w:p>
      <w:pPr>
        <w:spacing w:beforeLines="100" w:afterLines="50" w:line="600" w:lineRule="exact"/>
        <w:jc w:val="center"/>
        <w:rPr>
          <w:rFonts w:ascii="宋体" w:hAnsi="宋体"/>
          <w:b/>
          <w:color w:val="auto"/>
          <w:sz w:val="72"/>
          <w:szCs w:val="72"/>
          <w:highlight w:val="none"/>
        </w:rPr>
      </w:pPr>
    </w:p>
    <w:p>
      <w:pPr>
        <w:spacing w:beforeLines="100" w:afterLines="50" w:line="600" w:lineRule="exact"/>
        <w:jc w:val="center"/>
        <w:rPr>
          <w:rFonts w:ascii="宋体" w:hAnsi="宋体"/>
          <w:b/>
          <w:color w:val="auto"/>
          <w:sz w:val="72"/>
          <w:szCs w:val="72"/>
          <w:highlight w:val="none"/>
        </w:rPr>
      </w:pPr>
    </w:p>
    <w:p>
      <w:pPr>
        <w:spacing w:line="400" w:lineRule="exact"/>
        <w:jc w:val="center"/>
        <w:rPr>
          <w:rFonts w:ascii="宋体" w:hAnsi="宋体"/>
          <w:b/>
          <w:color w:val="auto"/>
          <w:sz w:val="32"/>
          <w:szCs w:val="32"/>
          <w:highlight w:val="none"/>
        </w:rPr>
      </w:pPr>
    </w:p>
    <w:p>
      <w:pPr>
        <w:spacing w:line="400" w:lineRule="exact"/>
        <w:ind w:right="804" w:rightChars="383" w:firstLine="643" w:firstLineChars="200"/>
        <w:rPr>
          <w:rFonts w:ascii="宋体" w:hAnsi="宋体"/>
          <w:b/>
          <w:color w:val="auto"/>
          <w:sz w:val="32"/>
          <w:szCs w:val="32"/>
          <w:highlight w:val="none"/>
        </w:rPr>
      </w:pPr>
      <w:r>
        <w:rPr>
          <w:rFonts w:hint="eastAsia" w:ascii="宋体" w:hAnsi="宋体"/>
          <w:b/>
          <w:color w:val="auto"/>
          <w:sz w:val="32"/>
          <w:szCs w:val="32"/>
          <w:highlight w:val="none"/>
        </w:rPr>
        <w:t>项目编号：</w:t>
      </w:r>
      <w:r>
        <w:rPr>
          <w:rFonts w:hint="eastAsia" w:ascii="宋体" w:hAnsi="宋体" w:cs="宋体"/>
          <w:b/>
          <w:bCs/>
          <w:color w:val="auto"/>
          <w:sz w:val="32"/>
          <w:szCs w:val="32"/>
          <w:highlight w:val="none"/>
          <w:shd w:val="clear" w:color="auto" w:fill="FFFFFF"/>
        </w:rPr>
        <w:t>GIEG2020HZ-0040</w:t>
      </w:r>
    </w:p>
    <w:p>
      <w:pPr>
        <w:spacing w:line="400" w:lineRule="exact"/>
        <w:ind w:right="804" w:rightChars="383"/>
        <w:jc w:val="center"/>
        <w:rPr>
          <w:rFonts w:ascii="宋体" w:hAnsi="宋体"/>
          <w:b/>
          <w:color w:val="auto"/>
          <w:sz w:val="32"/>
          <w:szCs w:val="32"/>
          <w:highlight w:val="none"/>
        </w:rPr>
      </w:pPr>
    </w:p>
    <w:p>
      <w:pPr>
        <w:spacing w:line="400" w:lineRule="exact"/>
        <w:ind w:left="2276" w:leftChars="319" w:right="-44" w:rightChars="-21" w:hanging="1606" w:hangingChars="500"/>
        <w:rPr>
          <w:rFonts w:ascii="宋体" w:hAnsi="宋体"/>
          <w:b/>
          <w:color w:val="auto"/>
          <w:sz w:val="32"/>
          <w:szCs w:val="32"/>
          <w:highlight w:val="none"/>
        </w:rPr>
      </w:pPr>
      <w:r>
        <w:rPr>
          <w:rFonts w:hint="eastAsia" w:ascii="宋体" w:hAnsi="宋体"/>
          <w:b/>
          <w:color w:val="auto"/>
          <w:sz w:val="32"/>
          <w:szCs w:val="32"/>
          <w:highlight w:val="none"/>
        </w:rPr>
        <w:t>项目名称：南宁国际会展中心地毯除异味、室内空气净化服务采购</w:t>
      </w:r>
    </w:p>
    <w:p>
      <w:pPr>
        <w:spacing w:line="400" w:lineRule="exact"/>
        <w:ind w:right="804" w:rightChars="383"/>
        <w:jc w:val="center"/>
        <w:rPr>
          <w:rFonts w:ascii="宋体" w:hAnsi="宋体"/>
          <w:b/>
          <w:color w:val="auto"/>
          <w:sz w:val="32"/>
          <w:szCs w:val="32"/>
          <w:highlight w:val="none"/>
        </w:rPr>
      </w:pPr>
    </w:p>
    <w:p>
      <w:pPr>
        <w:spacing w:line="400" w:lineRule="exact"/>
        <w:ind w:right="804" w:rightChars="383" w:firstLine="643" w:firstLineChars="200"/>
        <w:rPr>
          <w:rFonts w:ascii="宋体" w:hAnsi="宋体"/>
          <w:b/>
          <w:color w:val="auto"/>
          <w:sz w:val="32"/>
          <w:szCs w:val="32"/>
          <w:highlight w:val="none"/>
        </w:rPr>
      </w:pPr>
      <w:r>
        <w:rPr>
          <w:rFonts w:hint="eastAsia" w:ascii="宋体" w:hAnsi="宋体"/>
          <w:b/>
          <w:color w:val="auto"/>
          <w:sz w:val="32"/>
          <w:szCs w:val="32"/>
          <w:highlight w:val="none"/>
        </w:rPr>
        <w:t>采购单位：广西东博会场馆运营有限公司</w:t>
      </w:r>
    </w:p>
    <w:p>
      <w:pPr>
        <w:spacing w:line="400" w:lineRule="exact"/>
        <w:ind w:right="804" w:rightChars="383"/>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2020年4月</w:t>
      </w: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646" w:bottom="1440" w:left="1800" w:header="851" w:footer="992" w:gutter="0"/>
          <w:pgNumType w:start="0"/>
          <w:cols w:space="425" w:num="1"/>
          <w:titlePg/>
          <w:docGrid w:type="lines" w:linePitch="312" w:charSpace="0"/>
        </w:sect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rPr>
          <w:rFonts w:ascii="宋体" w:hAnsi="宋体"/>
          <w:b/>
          <w:color w:val="auto"/>
          <w:sz w:val="44"/>
          <w:szCs w:val="44"/>
          <w:highlight w:val="none"/>
        </w:rPr>
      </w:pPr>
    </w:p>
    <w:p>
      <w:pPr>
        <w:pStyle w:val="41"/>
        <w:tabs>
          <w:tab w:val="left" w:pos="1230"/>
          <w:tab w:val="right" w:leader="dot" w:pos="8296"/>
        </w:tabs>
        <w:spacing w:line="360" w:lineRule="auto"/>
        <w:rPr>
          <w:rFonts w:ascii="宋体" w:hAnsi="宋体"/>
          <w:color w:val="auto"/>
          <w:sz w:val="24"/>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TOC \o "1-3" \h \z \u</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"_Toc393040184" </w:instrText>
      </w:r>
      <w:r>
        <w:rPr>
          <w:color w:val="auto"/>
          <w:highlight w:val="none"/>
        </w:rPr>
        <w:fldChar w:fldCharType="separate"/>
      </w:r>
      <w:r>
        <w:rPr>
          <w:rStyle w:val="54"/>
          <w:rFonts w:hint="eastAsia" w:ascii="宋体" w:hAnsi="宋体"/>
          <w:color w:val="auto"/>
          <w:sz w:val="24"/>
          <w:highlight w:val="none"/>
        </w:rPr>
        <w:t>第一章</w:t>
      </w:r>
      <w:r>
        <w:rPr>
          <w:rFonts w:ascii="宋体" w:hAnsi="宋体"/>
          <w:color w:val="auto"/>
          <w:sz w:val="24"/>
          <w:highlight w:val="none"/>
        </w:rPr>
        <w:tab/>
      </w:r>
      <w:r>
        <w:rPr>
          <w:rStyle w:val="54"/>
          <w:rFonts w:hint="eastAsia" w:ascii="宋体" w:hAnsi="宋体"/>
          <w:color w:val="auto"/>
          <w:sz w:val="24"/>
          <w:highlight w:val="none"/>
        </w:rPr>
        <w:t>谈判采购公告</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_Toc393040184 \h </w:instrText>
      </w:r>
      <w:r>
        <w:rPr>
          <w:rFonts w:ascii="宋体" w:hAnsi="宋体"/>
          <w:color w:val="auto"/>
          <w:sz w:val="24"/>
          <w:highlight w:val="none"/>
        </w:rPr>
        <w:fldChar w:fldCharType="separate"/>
      </w:r>
      <w:r>
        <w:rPr>
          <w:rFonts w:ascii="宋体" w:hAnsi="宋体"/>
          <w:color w:val="auto"/>
          <w:sz w:val="24"/>
          <w:highlight w:val="none"/>
        </w:rPr>
        <w:t>1</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"_Toc393040185" </w:instrText>
      </w:r>
      <w:r>
        <w:rPr>
          <w:color w:val="auto"/>
          <w:highlight w:val="none"/>
        </w:rPr>
        <w:fldChar w:fldCharType="separate"/>
      </w:r>
      <w:r>
        <w:rPr>
          <w:rStyle w:val="54"/>
          <w:rFonts w:hint="eastAsia" w:ascii="宋体" w:hAnsi="宋体"/>
          <w:color w:val="auto"/>
          <w:sz w:val="24"/>
          <w:highlight w:val="none"/>
        </w:rPr>
        <w:t>第二章供应商须知</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_Toc393040185 \h </w:instrText>
      </w:r>
      <w:r>
        <w:rPr>
          <w:rFonts w:ascii="宋体" w:hAnsi="宋体"/>
          <w:color w:val="auto"/>
          <w:sz w:val="24"/>
          <w:highlight w:val="none"/>
        </w:rPr>
        <w:fldChar w:fldCharType="separate"/>
      </w:r>
      <w:r>
        <w:rPr>
          <w:rFonts w:ascii="宋体" w:hAnsi="宋体"/>
          <w:color w:val="auto"/>
          <w:sz w:val="24"/>
          <w:highlight w:val="none"/>
        </w:rPr>
        <w:t>2</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"_Toc393040186" </w:instrText>
      </w:r>
      <w:r>
        <w:rPr>
          <w:color w:val="auto"/>
          <w:highlight w:val="none"/>
        </w:rPr>
        <w:fldChar w:fldCharType="separate"/>
      </w:r>
      <w:r>
        <w:rPr>
          <w:rStyle w:val="54"/>
          <w:rFonts w:hint="eastAsia" w:ascii="宋体" w:hAnsi="宋体"/>
          <w:color w:val="auto"/>
          <w:sz w:val="24"/>
          <w:highlight w:val="none"/>
        </w:rPr>
        <w:t>第三章项目需求</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_Toc393040186 \h </w:instrText>
      </w:r>
      <w:r>
        <w:rPr>
          <w:rFonts w:ascii="宋体" w:hAnsi="宋体"/>
          <w:color w:val="auto"/>
          <w:sz w:val="24"/>
          <w:highlight w:val="none"/>
        </w:rPr>
        <w:fldChar w:fldCharType="separate"/>
      </w:r>
      <w:r>
        <w:rPr>
          <w:rFonts w:ascii="宋体" w:hAnsi="宋体"/>
          <w:color w:val="auto"/>
          <w:sz w:val="24"/>
          <w:highlight w:val="none"/>
        </w:rPr>
        <w:t>9</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"_Toc393040187" </w:instrText>
      </w:r>
      <w:r>
        <w:rPr>
          <w:color w:val="auto"/>
          <w:highlight w:val="none"/>
        </w:rPr>
        <w:fldChar w:fldCharType="separate"/>
      </w:r>
      <w:r>
        <w:rPr>
          <w:rStyle w:val="54"/>
          <w:rFonts w:hint="eastAsia" w:ascii="宋体" w:hAnsi="宋体"/>
          <w:color w:val="auto"/>
          <w:sz w:val="24"/>
          <w:highlight w:val="none"/>
        </w:rPr>
        <w:t>第四章评审方法</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_Toc393040187 \h </w:instrText>
      </w:r>
      <w:r>
        <w:rPr>
          <w:rFonts w:ascii="宋体" w:hAnsi="宋体"/>
          <w:color w:val="auto"/>
          <w:sz w:val="24"/>
          <w:highlight w:val="none"/>
        </w:rPr>
        <w:fldChar w:fldCharType="separate"/>
      </w:r>
      <w:r>
        <w:rPr>
          <w:rFonts w:ascii="宋体" w:hAnsi="宋体"/>
          <w:color w:val="auto"/>
          <w:sz w:val="24"/>
          <w:highlight w:val="none"/>
        </w:rPr>
        <w:t>13</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"_Toc393040191" </w:instrText>
      </w:r>
      <w:r>
        <w:rPr>
          <w:color w:val="auto"/>
          <w:highlight w:val="none"/>
        </w:rPr>
        <w:fldChar w:fldCharType="separate"/>
      </w:r>
      <w:r>
        <w:rPr>
          <w:rStyle w:val="54"/>
          <w:rFonts w:hint="eastAsia" w:ascii="宋体" w:hAnsi="宋体"/>
          <w:color w:val="auto"/>
          <w:sz w:val="24"/>
          <w:highlight w:val="none"/>
        </w:rPr>
        <w:t>第五章响应文件格式</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_Toc393040191 \h </w:instrText>
      </w:r>
      <w:r>
        <w:rPr>
          <w:rFonts w:ascii="宋体" w:hAnsi="宋体"/>
          <w:color w:val="auto"/>
          <w:sz w:val="24"/>
          <w:highlight w:val="none"/>
        </w:rPr>
        <w:fldChar w:fldCharType="separate"/>
      </w:r>
      <w:r>
        <w:rPr>
          <w:rFonts w:ascii="宋体" w:hAnsi="宋体"/>
          <w:color w:val="auto"/>
          <w:sz w:val="24"/>
          <w:highlight w:val="none"/>
        </w:rPr>
        <w:t>14</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left" w:pos="1470"/>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"_Toc393040203" </w:instrText>
      </w:r>
      <w:r>
        <w:rPr>
          <w:color w:val="auto"/>
          <w:highlight w:val="none"/>
        </w:rPr>
        <w:fldChar w:fldCharType="separate"/>
      </w:r>
      <w:r>
        <w:rPr>
          <w:rStyle w:val="54"/>
          <w:rFonts w:hint="eastAsia" w:ascii="宋体" w:hAnsi="宋体"/>
          <w:color w:val="auto"/>
          <w:sz w:val="24"/>
          <w:highlight w:val="none"/>
        </w:rPr>
        <w:t>第六章 合同主要条款</w:t>
      </w:r>
      <w:r>
        <w:rPr>
          <w:rFonts w:ascii="宋体" w:hAnsi="宋体"/>
          <w:color w:val="auto"/>
          <w:sz w:val="24"/>
          <w:highlight w:val="none"/>
        </w:rPr>
        <w:tab/>
      </w:r>
      <w:r>
        <w:rPr>
          <w:rFonts w:ascii="宋体" w:hAnsi="宋体"/>
          <w:color w:val="auto"/>
          <w:sz w:val="24"/>
          <w:highlight w:val="none"/>
        </w:rPr>
        <w:fldChar w:fldCharType="end"/>
      </w:r>
      <w:r>
        <w:rPr>
          <w:rFonts w:hint="eastAsia" w:ascii="宋体" w:hAnsi="宋体"/>
          <w:color w:val="auto"/>
          <w:sz w:val="24"/>
          <w:highlight w:val="none"/>
        </w:rPr>
        <w:t>22</w:t>
      </w:r>
    </w:p>
    <w:p>
      <w:pPr>
        <w:spacing w:line="360" w:lineRule="auto"/>
        <w:jc w:val="left"/>
        <w:rPr>
          <w:rFonts w:ascii="宋体" w:hAnsi="宋体"/>
          <w:b/>
          <w:color w:val="auto"/>
          <w:sz w:val="30"/>
          <w:szCs w:val="30"/>
          <w:highlight w:val="none"/>
        </w:rPr>
      </w:pPr>
      <w:r>
        <w:rPr>
          <w:rFonts w:ascii="宋体" w:hAnsi="宋体"/>
          <w:b/>
          <w:color w:val="auto"/>
          <w:sz w:val="24"/>
          <w:highlight w:val="none"/>
        </w:rPr>
        <w:fldChar w:fldCharType="end"/>
      </w:r>
    </w:p>
    <w:p>
      <w:pPr>
        <w:spacing w:line="400" w:lineRule="exact"/>
        <w:jc w:val="left"/>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p>
    <w:p>
      <w:pPr>
        <w:pStyle w:val="3"/>
        <w:numPr>
          <w:ilvl w:val="0"/>
          <w:numId w:val="7"/>
        </w:numPr>
        <w:jc w:val="center"/>
        <w:rPr>
          <w:color w:val="auto"/>
          <w:highlight w:val="none"/>
        </w:rPr>
      </w:pPr>
      <w:bookmarkStart w:id="0" w:name="_Toc393040184"/>
      <w:r>
        <w:rPr>
          <w:rFonts w:hint="eastAsia"/>
          <w:color w:val="auto"/>
          <w:highlight w:val="none"/>
        </w:rPr>
        <w:t>谈判采购公告</w:t>
      </w:r>
      <w:bookmarkEnd w:id="0"/>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广西东博会场馆运营有限公司地毯除异味、室内空气净化服务采购项目采用谈判方式进行采购，现将有关事项公告如下：</w:t>
      </w:r>
    </w:p>
    <w:p>
      <w:pPr>
        <w:spacing w:line="400" w:lineRule="exact"/>
        <w:ind w:firstLine="413" w:firstLineChars="196"/>
        <w:rPr>
          <w:rFonts w:ascii="宋体" w:hAnsi="宋体"/>
          <w:color w:val="auto"/>
          <w:szCs w:val="21"/>
          <w:highlight w:val="none"/>
          <w:u w:val="single"/>
        </w:rPr>
      </w:pPr>
      <w:r>
        <w:rPr>
          <w:rFonts w:hint="eastAsia" w:ascii="宋体" w:hAnsi="宋体"/>
          <w:b/>
          <w:color w:val="auto"/>
          <w:szCs w:val="21"/>
          <w:highlight w:val="none"/>
        </w:rPr>
        <w:t>一、项目名称</w:t>
      </w:r>
      <w:r>
        <w:rPr>
          <w:rFonts w:hint="eastAsia" w:ascii="宋体" w:hAnsi="宋体"/>
          <w:color w:val="auto"/>
          <w:szCs w:val="21"/>
          <w:highlight w:val="none"/>
        </w:rPr>
        <w:t>：南宁国际会展中心地毯除异味、室内空气净化服务采购</w:t>
      </w:r>
    </w:p>
    <w:p>
      <w:pPr>
        <w:spacing w:line="400" w:lineRule="exact"/>
        <w:ind w:firstLine="843" w:firstLineChars="400"/>
        <w:rPr>
          <w:rFonts w:ascii="宋体" w:hAnsi="宋体"/>
          <w:color w:val="auto"/>
          <w:szCs w:val="21"/>
          <w:highlight w:val="none"/>
          <w:u w:val="single"/>
        </w:rPr>
      </w:pPr>
      <w:r>
        <w:rPr>
          <w:rFonts w:hint="eastAsia" w:ascii="宋体" w:hAnsi="宋体"/>
          <w:b/>
          <w:color w:val="auto"/>
          <w:szCs w:val="21"/>
          <w:highlight w:val="none"/>
        </w:rPr>
        <w:t>项目编号</w:t>
      </w:r>
      <w:r>
        <w:rPr>
          <w:rFonts w:hint="eastAsia" w:ascii="宋体" w:hAnsi="宋体"/>
          <w:color w:val="auto"/>
          <w:szCs w:val="21"/>
          <w:highlight w:val="none"/>
        </w:rPr>
        <w:t xml:space="preserve">：            </w:t>
      </w:r>
    </w:p>
    <w:p>
      <w:pPr>
        <w:numPr>
          <w:ilvl w:val="0"/>
          <w:numId w:val="8"/>
        </w:numPr>
        <w:snapToGrid w:val="0"/>
        <w:spacing w:line="360" w:lineRule="exact"/>
        <w:ind w:firstLine="422" w:firstLineChars="200"/>
        <w:rPr>
          <w:rFonts w:ascii="宋体" w:hAnsi="宋体"/>
          <w:color w:val="auto"/>
          <w:szCs w:val="21"/>
          <w:highlight w:val="none"/>
        </w:rPr>
      </w:pPr>
      <w:r>
        <w:rPr>
          <w:rFonts w:hint="eastAsia" w:ascii="宋体" w:hAnsi="宋体" w:cs="Arial"/>
          <w:b/>
          <w:color w:val="auto"/>
          <w:szCs w:val="21"/>
          <w:highlight w:val="none"/>
        </w:rPr>
        <w:t>采购组织类型：</w:t>
      </w:r>
      <w:r>
        <w:rPr>
          <w:rFonts w:hint="eastAsia" w:ascii="宋体" w:hAnsi="宋体" w:cs="Arial"/>
          <w:color w:val="auto"/>
          <w:szCs w:val="21"/>
          <w:highlight w:val="none"/>
          <w:lang w:eastAsia="zh-CN"/>
        </w:rPr>
        <w:t>企业自行采购项目</w:t>
      </w:r>
    </w:p>
    <w:p>
      <w:pPr>
        <w:numPr>
          <w:ilvl w:val="0"/>
          <w:numId w:val="8"/>
        </w:numPr>
        <w:snapToGrid w:val="0"/>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采购内容</w:t>
      </w:r>
      <w:r>
        <w:rPr>
          <w:rFonts w:hint="eastAsia" w:ascii="宋体" w:hAnsi="宋体"/>
          <w:color w:val="auto"/>
          <w:szCs w:val="21"/>
          <w:highlight w:val="none"/>
        </w:rPr>
        <w:t>：广西东博会场馆运营有限公司地毯除异味、室内空气净化工程6500 平米，</w:t>
      </w:r>
    </w:p>
    <w:p>
      <w:pPr>
        <w:snapToGrid w:val="0"/>
        <w:spacing w:line="360" w:lineRule="exact"/>
        <w:rPr>
          <w:rFonts w:ascii="宋体" w:hAnsi="宋体" w:cs="Arial"/>
          <w:color w:val="auto"/>
          <w:szCs w:val="21"/>
          <w:highlight w:val="none"/>
        </w:rPr>
      </w:pPr>
      <w:r>
        <w:rPr>
          <w:rFonts w:hint="eastAsia" w:ascii="宋体" w:hAnsi="宋体"/>
          <w:color w:val="auto"/>
          <w:szCs w:val="21"/>
          <w:highlight w:val="none"/>
        </w:rPr>
        <w:t>项目预算（人民币）：8万元整。</w:t>
      </w:r>
    </w:p>
    <w:p>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四、供应商资格</w:t>
      </w:r>
      <w:r>
        <w:rPr>
          <w:rFonts w:hint="eastAsia" w:ascii="宋体" w:hAnsi="宋体"/>
          <w:color w:val="auto"/>
          <w:szCs w:val="21"/>
          <w:highlight w:val="none"/>
        </w:rPr>
        <w:t>：</w:t>
      </w:r>
    </w:p>
    <w:p>
      <w:pPr>
        <w:spacing w:line="400" w:lineRule="exact"/>
        <w:ind w:firstLine="525" w:firstLineChars="250"/>
        <w:rPr>
          <w:rFonts w:ascii="宋体" w:hAnsi="宋体" w:cs="Arial"/>
          <w:color w:val="auto"/>
          <w:szCs w:val="21"/>
          <w:highlight w:val="none"/>
        </w:rPr>
      </w:pPr>
      <w:r>
        <w:rPr>
          <w:rFonts w:hint="eastAsia" w:ascii="宋体" w:hAnsi="宋体" w:cs="Arial"/>
          <w:color w:val="auto"/>
          <w:szCs w:val="21"/>
          <w:highlight w:val="none"/>
        </w:rPr>
        <w:t>1.国内注册（指按国家有关规定要求注册的），经营范围包含本次招标采购服务，具备法人资格的供应商；</w:t>
      </w:r>
    </w:p>
    <w:p>
      <w:pPr>
        <w:spacing w:line="400" w:lineRule="exact"/>
        <w:ind w:firstLine="525" w:firstLineChars="250"/>
        <w:rPr>
          <w:rFonts w:ascii="宋体" w:hAnsi="宋体" w:cs="Arial"/>
          <w:color w:val="auto"/>
          <w:szCs w:val="21"/>
          <w:highlight w:val="none"/>
        </w:rPr>
      </w:pPr>
      <w:r>
        <w:rPr>
          <w:rFonts w:hint="eastAsia" w:ascii="宋体" w:hAnsi="宋体" w:cs="Arial"/>
          <w:color w:val="auto"/>
          <w:szCs w:val="21"/>
          <w:highlight w:val="none"/>
        </w:rPr>
        <w:t>2.竞标人须获得由中国室内装饰协会室内环境监测工作委员会颁发的《室内环境污染净化治理证书》；</w:t>
      </w:r>
    </w:p>
    <w:p>
      <w:pPr>
        <w:spacing w:line="400" w:lineRule="exact"/>
        <w:ind w:firstLine="525" w:firstLineChars="250"/>
        <w:rPr>
          <w:rFonts w:ascii="宋体" w:hAnsi="宋体" w:cs="Arial"/>
          <w:color w:val="auto"/>
          <w:szCs w:val="21"/>
          <w:highlight w:val="none"/>
        </w:rPr>
      </w:pPr>
      <w:r>
        <w:rPr>
          <w:rFonts w:hint="eastAsia" w:ascii="宋体" w:hAnsi="宋体" w:cs="Arial"/>
          <w:color w:val="auto"/>
          <w:szCs w:val="21"/>
          <w:highlight w:val="none"/>
        </w:rPr>
        <w:t>3.本项目不接受联合体竞标。</w:t>
      </w:r>
    </w:p>
    <w:p>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五、竞标保证金</w:t>
      </w:r>
      <w:r>
        <w:rPr>
          <w:rFonts w:hint="eastAsia" w:ascii="宋体" w:hAnsi="宋体"/>
          <w:color w:val="auto"/>
          <w:szCs w:val="21"/>
          <w:highlight w:val="none"/>
        </w:rPr>
        <w:t>：无</w:t>
      </w:r>
    </w:p>
    <w:p>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六、竞争性谈判文件获取的时间和地点</w:t>
      </w:r>
      <w:r>
        <w:rPr>
          <w:rFonts w:hint="eastAsia" w:ascii="宋体" w:hAnsi="宋体"/>
          <w:color w:val="auto"/>
          <w:szCs w:val="21"/>
          <w:highlight w:val="none"/>
        </w:rPr>
        <w:t>：</w:t>
      </w:r>
    </w:p>
    <w:p>
      <w:pPr>
        <w:spacing w:line="400" w:lineRule="exact"/>
        <w:ind w:firstLine="495"/>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bCs/>
          <w:color w:val="auto"/>
          <w:szCs w:val="21"/>
          <w:highlight w:val="none"/>
        </w:rPr>
        <w:t>竞争性谈判</w:t>
      </w:r>
      <w:r>
        <w:rPr>
          <w:rFonts w:hint="eastAsia" w:ascii="宋体" w:hAnsi="宋体"/>
          <w:color w:val="auto"/>
          <w:szCs w:val="21"/>
          <w:highlight w:val="none"/>
        </w:rPr>
        <w:t>文件获取时间：</w:t>
      </w:r>
      <w:r>
        <w:rPr>
          <w:rFonts w:hint="eastAsia" w:ascii="宋体" w:hAnsi="宋体"/>
          <w:color w:val="auto"/>
          <w:szCs w:val="21"/>
          <w:highlight w:val="none"/>
          <w:u w:val="single"/>
        </w:rPr>
        <w:t>2020年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21</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分至2020年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23</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p>
    <w:p>
      <w:pPr>
        <w:spacing w:line="400" w:lineRule="exact"/>
        <w:ind w:firstLine="495"/>
        <w:rPr>
          <w:rFonts w:ascii="宋体" w:hAnsi="宋体"/>
          <w:color w:val="auto"/>
          <w:szCs w:val="21"/>
          <w:highlight w:val="none"/>
          <w:u w:val="single"/>
        </w:rPr>
      </w:pPr>
      <w:r>
        <w:rPr>
          <w:rFonts w:hint="eastAsia" w:ascii="宋体" w:hAnsi="宋体"/>
          <w:color w:val="auto"/>
          <w:szCs w:val="21"/>
          <w:highlight w:val="none"/>
        </w:rPr>
        <w:t>2.</w:t>
      </w:r>
      <w:r>
        <w:rPr>
          <w:rFonts w:hint="eastAsia" w:ascii="宋体" w:hAnsi="宋体"/>
          <w:bCs/>
          <w:color w:val="auto"/>
          <w:szCs w:val="21"/>
          <w:highlight w:val="none"/>
        </w:rPr>
        <w:t>竞争性谈判</w:t>
      </w:r>
      <w:r>
        <w:rPr>
          <w:rFonts w:hint="eastAsia" w:ascii="宋体" w:hAnsi="宋体"/>
          <w:color w:val="auto"/>
          <w:szCs w:val="21"/>
          <w:highlight w:val="none"/>
        </w:rPr>
        <w:t>文件获取地点：广西东博会场馆运营有限公司（</w:t>
      </w:r>
      <w:r>
        <w:rPr>
          <w:rFonts w:hint="eastAsia" w:ascii="宋体" w:hAnsi="宋体" w:cs="宋体"/>
          <w:color w:val="auto"/>
          <w:szCs w:val="21"/>
          <w:highlight w:val="none"/>
          <w:u w:val="single"/>
        </w:rPr>
        <w:t>南宁市民族大道延长线106号C区行政北楼219号办公室</w:t>
      </w:r>
      <w:r>
        <w:rPr>
          <w:rFonts w:hint="eastAsia" w:ascii="宋体" w:hAnsi="宋体"/>
          <w:color w:val="auto"/>
          <w:szCs w:val="21"/>
          <w:highlight w:val="none"/>
        </w:rPr>
        <w:t>）或通过电子邮件发送。</w:t>
      </w:r>
    </w:p>
    <w:p>
      <w:pPr>
        <w:spacing w:line="400" w:lineRule="exact"/>
        <w:ind w:firstLine="422" w:firstLineChars="200"/>
        <w:rPr>
          <w:rFonts w:ascii="宋体" w:hAnsi="宋体"/>
          <w:color w:val="auto"/>
          <w:szCs w:val="21"/>
          <w:highlight w:val="none"/>
        </w:rPr>
      </w:pPr>
      <w:r>
        <w:rPr>
          <w:rFonts w:hint="eastAsia" w:ascii="宋体" w:hAnsi="宋体"/>
          <w:b/>
          <w:bCs/>
          <w:color w:val="auto"/>
          <w:szCs w:val="21"/>
          <w:highlight w:val="none"/>
        </w:rPr>
        <w:t>七、</w:t>
      </w:r>
      <w:r>
        <w:rPr>
          <w:rFonts w:hint="eastAsia" w:ascii="宋体" w:hAnsi="宋体"/>
          <w:b/>
          <w:color w:val="auto"/>
          <w:szCs w:val="21"/>
          <w:highlight w:val="none"/>
          <w:lang w:eastAsia="zh-CN"/>
        </w:rPr>
        <w:t>响应</w:t>
      </w:r>
      <w:r>
        <w:rPr>
          <w:rFonts w:hint="eastAsia" w:ascii="宋体" w:hAnsi="宋体"/>
          <w:b/>
          <w:color w:val="auto"/>
          <w:szCs w:val="21"/>
          <w:highlight w:val="none"/>
        </w:rPr>
        <w:t>文件递交时间和地点</w:t>
      </w:r>
      <w:r>
        <w:rPr>
          <w:rFonts w:hint="eastAsia" w:ascii="宋体" w:hAnsi="宋体"/>
          <w:color w:val="auto"/>
          <w:szCs w:val="21"/>
          <w:highlight w:val="none"/>
        </w:rPr>
        <w:t>：</w:t>
      </w:r>
    </w:p>
    <w:p>
      <w:pPr>
        <w:spacing w:line="400" w:lineRule="exact"/>
        <w:ind w:firstLine="495"/>
        <w:rPr>
          <w:rFonts w:hint="eastAsia" w:ascii="宋体" w:hAnsi="宋体" w:eastAsia="宋体"/>
          <w:color w:val="auto"/>
          <w:szCs w:val="21"/>
          <w:highlight w:val="none"/>
          <w:u w:val="single"/>
          <w:lang w:eastAsia="zh-CN"/>
        </w:rPr>
      </w:pPr>
      <w:r>
        <w:rPr>
          <w:rFonts w:hint="eastAsia" w:ascii="宋体" w:hAnsi="宋体"/>
          <w:color w:val="auto"/>
          <w:szCs w:val="21"/>
          <w:highlight w:val="none"/>
        </w:rPr>
        <w:t>1.</w:t>
      </w:r>
      <w:r>
        <w:rPr>
          <w:rFonts w:hint="eastAsia" w:ascii="宋体" w:hAnsi="宋体"/>
          <w:bCs/>
          <w:color w:val="auto"/>
          <w:szCs w:val="21"/>
          <w:highlight w:val="none"/>
          <w:lang w:eastAsia="zh-CN"/>
        </w:rPr>
        <w:t>响应</w:t>
      </w:r>
      <w:r>
        <w:rPr>
          <w:rFonts w:hint="eastAsia" w:ascii="宋体" w:hAnsi="宋体"/>
          <w:color w:val="auto"/>
          <w:szCs w:val="21"/>
          <w:highlight w:val="none"/>
        </w:rPr>
        <w:t>文件接收时间：</w:t>
      </w:r>
      <w:r>
        <w:rPr>
          <w:rFonts w:hint="eastAsia" w:ascii="宋体" w:hAnsi="宋体"/>
          <w:color w:val="auto"/>
          <w:szCs w:val="21"/>
          <w:highlight w:val="none"/>
          <w:u w:val="single"/>
        </w:rPr>
        <w:t>2020年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28</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r>
        <w:rPr>
          <w:rFonts w:hint="eastAsia" w:ascii="宋体" w:hAnsi="宋体"/>
          <w:color w:val="auto"/>
          <w:szCs w:val="21"/>
          <w:highlight w:val="none"/>
          <w:u w:val="single"/>
          <w:lang w:eastAsia="zh-CN"/>
        </w:rPr>
        <w:t>前</w:t>
      </w:r>
    </w:p>
    <w:p>
      <w:pPr>
        <w:spacing w:line="400" w:lineRule="exact"/>
        <w:ind w:firstLine="495"/>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lang w:eastAsia="zh-CN"/>
        </w:rPr>
        <w:t>响应</w:t>
      </w:r>
      <w:r>
        <w:rPr>
          <w:rFonts w:hint="eastAsia" w:ascii="宋体" w:hAnsi="宋体"/>
          <w:color w:val="auto"/>
          <w:szCs w:val="21"/>
          <w:highlight w:val="none"/>
        </w:rPr>
        <w:t>文件递交地点：广西东博会场馆运营有限公司（</w:t>
      </w:r>
      <w:r>
        <w:rPr>
          <w:rFonts w:hint="eastAsia" w:ascii="宋体" w:hAnsi="宋体" w:cs="宋体"/>
          <w:color w:val="auto"/>
          <w:szCs w:val="21"/>
          <w:highlight w:val="none"/>
          <w:u w:val="single"/>
        </w:rPr>
        <w:t>南宁市民族大道延长线106号C区行政北楼219号办公室</w:t>
      </w:r>
      <w:r>
        <w:rPr>
          <w:rFonts w:hint="eastAsia" w:ascii="宋体" w:hAnsi="宋体"/>
          <w:color w:val="auto"/>
          <w:szCs w:val="21"/>
          <w:highlight w:val="none"/>
        </w:rPr>
        <w:t>）。</w:t>
      </w:r>
    </w:p>
    <w:p>
      <w:pPr>
        <w:spacing w:line="400" w:lineRule="exact"/>
        <w:ind w:firstLine="495"/>
        <w:rPr>
          <w:rFonts w:ascii="宋体" w:hAnsi="宋体"/>
          <w:color w:val="auto"/>
          <w:szCs w:val="21"/>
          <w:highlight w:val="none"/>
        </w:rPr>
      </w:pPr>
      <w:r>
        <w:rPr>
          <w:rFonts w:hint="eastAsia" w:ascii="宋体" w:hAnsi="宋体"/>
          <w:b/>
          <w:color w:val="auto"/>
          <w:szCs w:val="21"/>
          <w:highlight w:val="none"/>
        </w:rPr>
        <w:t>八、响应文件开启时间、谈判时间及地点</w:t>
      </w:r>
      <w:r>
        <w:rPr>
          <w:rFonts w:hint="eastAsia" w:ascii="宋体" w:hAnsi="宋体"/>
          <w:color w:val="auto"/>
          <w:szCs w:val="21"/>
          <w:highlight w:val="none"/>
        </w:rPr>
        <w:t>：</w:t>
      </w:r>
    </w:p>
    <w:p>
      <w:pPr>
        <w:spacing w:line="400" w:lineRule="exact"/>
        <w:ind w:firstLine="495"/>
        <w:rPr>
          <w:rFonts w:ascii="宋体" w:hAnsi="宋体"/>
          <w:color w:val="auto"/>
          <w:szCs w:val="21"/>
          <w:highlight w:val="none"/>
        </w:rPr>
      </w:pPr>
      <w:r>
        <w:rPr>
          <w:rFonts w:hint="eastAsia" w:ascii="宋体" w:hAnsi="宋体"/>
          <w:color w:val="auto"/>
          <w:szCs w:val="21"/>
          <w:highlight w:val="none"/>
          <w:u w:val="single"/>
        </w:rPr>
        <w:t>2020年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29</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r>
        <w:rPr>
          <w:rFonts w:hint="eastAsia" w:ascii="宋体" w:hAnsi="宋体"/>
          <w:color w:val="auto"/>
          <w:szCs w:val="21"/>
          <w:highlight w:val="none"/>
        </w:rPr>
        <w:t>后为开启响应文件及与供应商谈判时间，具体时间另行通知。地点：广西东博会场馆运营有限公司（</w:t>
      </w:r>
      <w:r>
        <w:rPr>
          <w:rFonts w:hint="eastAsia" w:ascii="宋体" w:hAnsi="宋体" w:cs="宋体"/>
          <w:color w:val="auto"/>
          <w:szCs w:val="21"/>
          <w:highlight w:val="none"/>
          <w:u w:val="single"/>
        </w:rPr>
        <w:t>南宁市民族大道延长线106号C区行政北楼221号办公室</w:t>
      </w:r>
      <w:r>
        <w:rPr>
          <w:rFonts w:hint="eastAsia" w:ascii="宋体" w:hAnsi="宋体"/>
          <w:color w:val="auto"/>
          <w:szCs w:val="21"/>
          <w:highlight w:val="none"/>
        </w:rPr>
        <w:t>），参加竞标的法定代表人或委托代理人必须持证件（法定代表人凭资格证书和身份证或委托代理人凭法人授权委托书原件和身份证）依时到达指定地点等候当面谈判。</w:t>
      </w:r>
    </w:p>
    <w:p>
      <w:pPr>
        <w:snapToGrid w:val="0"/>
        <w:spacing w:line="360" w:lineRule="exact"/>
        <w:ind w:firstLine="420"/>
        <w:rPr>
          <w:rFonts w:ascii="宋体" w:hAnsi="宋体" w:cs="Arial"/>
          <w:b/>
          <w:color w:val="auto"/>
          <w:szCs w:val="21"/>
          <w:highlight w:val="none"/>
        </w:rPr>
      </w:pPr>
      <w:r>
        <w:rPr>
          <w:rFonts w:hint="eastAsia" w:ascii="宋体" w:hAnsi="宋体"/>
          <w:b/>
          <w:color w:val="auto"/>
          <w:szCs w:val="21"/>
          <w:highlight w:val="none"/>
        </w:rPr>
        <w:t>九、</w:t>
      </w:r>
      <w:r>
        <w:rPr>
          <w:rFonts w:hint="eastAsia" w:ascii="宋体" w:hAnsi="宋体" w:cs="Arial"/>
          <w:b/>
          <w:color w:val="auto"/>
          <w:szCs w:val="21"/>
          <w:highlight w:val="none"/>
        </w:rPr>
        <w:t>业务咨询：</w:t>
      </w:r>
    </w:p>
    <w:p>
      <w:pPr>
        <w:snapToGrid w:val="0"/>
        <w:spacing w:line="36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1.广西东博会场馆运营有限公司</w:t>
      </w:r>
    </w:p>
    <w:p>
      <w:pPr>
        <w:snapToGrid w:val="0"/>
        <w:spacing w:line="36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联系人：</w:t>
      </w:r>
      <w:r>
        <w:rPr>
          <w:rFonts w:hint="eastAsia" w:ascii="宋体" w:hAnsi="宋体"/>
          <w:color w:val="auto"/>
          <w:highlight w:val="none"/>
          <w:shd w:val="clear" w:color="auto" w:fill="FFFFFF"/>
          <w:lang w:eastAsia="zh-CN"/>
        </w:rPr>
        <w:t>庞东牌</w:t>
      </w:r>
      <w:r>
        <w:rPr>
          <w:rFonts w:hint="eastAsia" w:ascii="宋体" w:hAnsi="宋体"/>
          <w:color w:val="auto"/>
          <w:highlight w:val="none"/>
          <w:shd w:val="clear" w:color="auto" w:fill="FFFFFF"/>
          <w:lang w:val="en-US" w:eastAsia="zh-CN"/>
        </w:rPr>
        <w:t xml:space="preserve">  </w:t>
      </w:r>
      <w:r>
        <w:rPr>
          <w:rFonts w:hint="eastAsia" w:ascii="宋体" w:hAnsi="宋体"/>
          <w:color w:val="auto"/>
          <w:highlight w:val="none"/>
          <w:shd w:val="clear" w:color="auto" w:fill="FFFFFF"/>
        </w:rPr>
        <w:t>联系电话：</w:t>
      </w:r>
      <w:r>
        <w:rPr>
          <w:rFonts w:hint="eastAsia" w:ascii="宋体" w:hAnsi="宋体" w:cs="Arial"/>
          <w:color w:val="auto"/>
          <w:szCs w:val="21"/>
          <w:highlight w:val="none"/>
          <w:lang w:val="en-US" w:eastAsia="zh-CN"/>
        </w:rPr>
        <w:t>13471157769</w:t>
      </w:r>
    </w:p>
    <w:p>
      <w:pPr>
        <w:snapToGrid w:val="0"/>
        <w:spacing w:line="36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地址：</w:t>
      </w:r>
      <w:r>
        <w:rPr>
          <w:rFonts w:hint="eastAsia" w:ascii="宋体" w:hAnsi="宋体" w:cs="宋体"/>
          <w:color w:val="auto"/>
          <w:szCs w:val="21"/>
          <w:highlight w:val="none"/>
          <w:u w:val="single"/>
        </w:rPr>
        <w:t>南宁市民族大道延长线106号C区行政北楼219号办公室</w:t>
      </w:r>
      <w:r>
        <w:rPr>
          <w:rFonts w:hint="eastAsia" w:ascii="宋体" w:hAnsi="宋体" w:cs="Arial"/>
          <w:color w:val="auto"/>
          <w:szCs w:val="21"/>
          <w:highlight w:val="none"/>
        </w:rPr>
        <w:t>/邮编：530000</w:t>
      </w:r>
    </w:p>
    <w:p>
      <w:pPr>
        <w:numPr>
          <w:ilvl w:val="0"/>
          <w:numId w:val="9"/>
        </w:numPr>
        <w:snapToGrid w:val="0"/>
        <w:spacing w:line="600" w:lineRule="exact"/>
        <w:ind w:firstLine="422" w:firstLineChars="200"/>
        <w:rPr>
          <w:rFonts w:hint="eastAsia" w:ascii="宋体" w:hAnsi="宋体" w:eastAsia="宋体" w:cs="宋体"/>
          <w:b/>
          <w:bCs/>
          <w:color w:val="auto"/>
          <w:sz w:val="21"/>
          <w:szCs w:val="21"/>
          <w:highlight w:val="none"/>
          <w:shd w:val="clear" w:color="auto" w:fill="FFFFFF"/>
          <w:lang w:eastAsia="zh-CN"/>
        </w:rPr>
      </w:pPr>
      <w:r>
        <w:rPr>
          <w:rFonts w:hint="eastAsia" w:ascii="宋体" w:hAnsi="宋体" w:eastAsia="宋体" w:cs="宋体"/>
          <w:b/>
          <w:bCs/>
          <w:color w:val="auto"/>
          <w:sz w:val="21"/>
          <w:szCs w:val="21"/>
          <w:highlight w:val="none"/>
          <w:shd w:val="clear" w:color="auto" w:fill="FFFFFF"/>
          <w:lang w:eastAsia="zh-CN"/>
        </w:rPr>
        <w:t>监督与投诉：</w:t>
      </w:r>
    </w:p>
    <w:p>
      <w:pPr>
        <w:numPr>
          <w:numId w:val="0"/>
        </w:numPr>
        <w:snapToGrid w:val="0"/>
        <w:spacing w:line="600" w:lineRule="exact"/>
        <w:ind w:firstLine="420" w:firstLineChars="200"/>
        <w:rPr>
          <w:rFonts w:hint="eastAsia" w:ascii="宋体" w:hAnsi="宋体" w:eastAsia="宋体" w:cs="宋体"/>
          <w:b/>
          <w:bCs/>
          <w:color w:val="auto"/>
          <w:sz w:val="21"/>
          <w:szCs w:val="21"/>
          <w:highlight w:val="none"/>
          <w:shd w:val="clear" w:color="auto" w:fill="FFFFFF"/>
          <w:lang w:eastAsia="zh-CN"/>
        </w:rPr>
      </w:pPr>
      <w:bookmarkStart w:id="9" w:name="_GoBack"/>
      <w:r>
        <w:rPr>
          <w:rFonts w:hint="eastAsia" w:ascii="宋体" w:hAnsi="宋体" w:cs="Arial"/>
          <w:color w:val="auto"/>
          <w:szCs w:val="21"/>
          <w:highlight w:val="none"/>
          <w:lang w:val="en-US" w:eastAsia="zh-CN"/>
        </w:rPr>
        <w:t>1.</w:t>
      </w:r>
      <w:r>
        <w:rPr>
          <w:rFonts w:hint="eastAsia" w:ascii="宋体" w:hAnsi="宋体" w:cs="Arial"/>
          <w:color w:val="auto"/>
          <w:szCs w:val="21"/>
          <w:highlight w:val="none"/>
        </w:rPr>
        <w:t>广西国际博览集团有限公司</w:t>
      </w:r>
      <w:r>
        <w:rPr>
          <w:rFonts w:hint="eastAsia" w:ascii="宋体" w:hAnsi="宋体" w:cs="Arial"/>
          <w:color w:val="auto"/>
          <w:szCs w:val="21"/>
          <w:highlight w:val="none"/>
          <w:lang w:eastAsia="zh-CN"/>
        </w:rPr>
        <w:t>经营管理部</w:t>
      </w:r>
    </w:p>
    <w:bookmarkEnd w:id="9"/>
    <w:p>
      <w:pPr>
        <w:snapToGrid w:val="0"/>
        <w:spacing w:line="600" w:lineRule="exact"/>
        <w:ind w:firstLine="420" w:firstLineChars="200"/>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rPr>
        <w:t xml:space="preserve">联系人：   </w:t>
      </w:r>
      <w:r>
        <w:rPr>
          <w:rFonts w:hint="eastAsia" w:ascii="宋体" w:hAnsi="宋体" w:eastAsia="宋体" w:cs="宋体"/>
          <w:color w:val="auto"/>
          <w:sz w:val="21"/>
          <w:szCs w:val="21"/>
          <w:highlight w:val="none"/>
          <w:lang w:eastAsia="zh-CN"/>
        </w:rPr>
        <w:t>顾明</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 xml:space="preserve"> 联系电话：</w:t>
      </w:r>
      <w:r>
        <w:rPr>
          <w:rFonts w:hint="eastAsia" w:ascii="宋体" w:hAnsi="宋体" w:eastAsia="宋体" w:cs="宋体"/>
          <w:color w:val="auto"/>
          <w:sz w:val="21"/>
          <w:szCs w:val="21"/>
          <w:highlight w:val="none"/>
          <w:shd w:val="clear" w:color="auto" w:fill="FFFFFF"/>
          <w:lang w:val="en-US" w:eastAsia="zh-CN"/>
        </w:rPr>
        <w:t>0771-2212614</w:t>
      </w:r>
    </w:p>
    <w:p>
      <w:pPr>
        <w:snapToGrid w:val="0"/>
        <w:spacing w:line="600" w:lineRule="exact"/>
        <w:ind w:firstLine="420" w:firstLineChars="200"/>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南宁市</w:t>
      </w:r>
      <w:r>
        <w:rPr>
          <w:rFonts w:hint="eastAsia" w:ascii="宋体" w:hAnsi="宋体" w:eastAsia="宋体" w:cs="宋体"/>
          <w:color w:val="auto"/>
          <w:sz w:val="21"/>
          <w:szCs w:val="21"/>
          <w:highlight w:val="none"/>
          <w:u w:val="single"/>
          <w:lang w:eastAsia="zh-CN"/>
        </w:rPr>
        <w:t>会展路</w:t>
      </w:r>
      <w:r>
        <w:rPr>
          <w:rFonts w:hint="eastAsia" w:ascii="宋体" w:hAnsi="宋体" w:eastAsia="宋体" w:cs="宋体"/>
          <w:color w:val="auto"/>
          <w:sz w:val="21"/>
          <w:szCs w:val="21"/>
          <w:highlight w:val="none"/>
          <w:u w:val="single"/>
          <w:lang w:val="en-US" w:eastAsia="zh-CN"/>
        </w:rPr>
        <w:t>18号会展大厦12楼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/邮编：530000</w:t>
      </w:r>
    </w:p>
    <w:p>
      <w:pPr>
        <w:snapToGrid w:val="0"/>
        <w:spacing w:line="360" w:lineRule="exact"/>
        <w:ind w:firstLine="420" w:firstLineChars="200"/>
        <w:rPr>
          <w:rFonts w:hint="eastAsia" w:ascii="宋体" w:hAnsi="宋体" w:cs="Arial"/>
          <w:color w:val="auto"/>
          <w:szCs w:val="21"/>
          <w:highlight w:val="none"/>
        </w:rPr>
      </w:pPr>
    </w:p>
    <w:p>
      <w:pPr>
        <w:snapToGrid w:val="0"/>
        <w:spacing w:line="360" w:lineRule="exact"/>
        <w:ind w:firstLine="422" w:firstLineChars="200"/>
        <w:rPr>
          <w:rFonts w:ascii="宋体" w:hAnsi="宋体" w:cs="Arial"/>
          <w:color w:val="auto"/>
          <w:szCs w:val="21"/>
          <w:highlight w:val="none"/>
          <w:u w:val="single"/>
        </w:rPr>
      </w:pPr>
      <w:r>
        <w:rPr>
          <w:rFonts w:hint="eastAsia" w:ascii="宋体" w:hAnsi="宋体"/>
          <w:b/>
          <w:color w:val="auto"/>
          <w:szCs w:val="21"/>
          <w:highlight w:val="none"/>
        </w:rPr>
        <w:t>十</w:t>
      </w:r>
      <w:r>
        <w:rPr>
          <w:rFonts w:hint="eastAsia" w:ascii="宋体" w:hAnsi="宋体"/>
          <w:b/>
          <w:color w:val="auto"/>
          <w:szCs w:val="21"/>
          <w:highlight w:val="none"/>
          <w:lang w:eastAsia="zh-CN"/>
        </w:rPr>
        <w:t>一</w:t>
      </w:r>
      <w:r>
        <w:rPr>
          <w:rFonts w:hint="eastAsia" w:ascii="宋体" w:hAnsi="宋体"/>
          <w:b/>
          <w:color w:val="auto"/>
          <w:szCs w:val="21"/>
          <w:highlight w:val="none"/>
        </w:rPr>
        <w:t>、网上公告媒体查询</w:t>
      </w:r>
      <w:r>
        <w:rPr>
          <w:rFonts w:hint="eastAsia" w:ascii="宋体" w:hAnsi="宋体"/>
          <w:color w:val="auto"/>
          <w:szCs w:val="21"/>
          <w:highlight w:val="none"/>
        </w:rPr>
        <w:t>：</w:t>
      </w:r>
    </w:p>
    <w:p>
      <w:pPr>
        <w:snapToGrid w:val="0"/>
        <w:spacing w:line="36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广西国际博览集团有限公司官方网站（http://www.gxexpogp.cn）</w:t>
      </w:r>
    </w:p>
    <w:p>
      <w:pPr>
        <w:snapToGrid w:val="0"/>
        <w:spacing w:line="360" w:lineRule="exact"/>
        <w:ind w:firstLine="420" w:firstLineChars="200"/>
        <w:rPr>
          <w:rFonts w:hint="eastAsia" w:ascii="宋体" w:hAnsi="宋体" w:eastAsia="宋体" w:cs="Arial"/>
          <w:color w:val="auto"/>
          <w:szCs w:val="21"/>
          <w:highlight w:val="none"/>
          <w:lang w:eastAsia="zh-CN"/>
        </w:rPr>
      </w:pPr>
      <w:r>
        <w:rPr>
          <w:rFonts w:hint="eastAsia" w:ascii="宋体" w:hAnsi="宋体" w:cs="Arial"/>
          <w:color w:val="auto"/>
          <w:szCs w:val="21"/>
          <w:highlight w:val="none"/>
          <w:lang w:eastAsia="zh-CN"/>
        </w:rPr>
        <w:t>广西东博会场馆运营有限公司（</w:t>
      </w:r>
      <w:r>
        <w:rPr>
          <w:rFonts w:hint="eastAsia" w:ascii="宋体" w:hAnsi="宋体" w:cs="Arial"/>
          <w:color w:val="auto"/>
          <w:szCs w:val="21"/>
          <w:highlight w:val="none"/>
          <w:lang w:val="en-US" w:eastAsia="zh-CN"/>
        </w:rPr>
        <w:t>http：//www.nicec.cn</w:t>
      </w:r>
      <w:r>
        <w:rPr>
          <w:rFonts w:hint="eastAsia" w:ascii="宋体" w:hAnsi="宋体" w:cs="Arial"/>
          <w:color w:val="auto"/>
          <w:szCs w:val="21"/>
          <w:highlight w:val="none"/>
          <w:lang w:eastAsia="zh-CN"/>
        </w:rPr>
        <w:t>）</w:t>
      </w:r>
    </w:p>
    <w:p>
      <w:pPr>
        <w:snapToGrid w:val="0"/>
        <w:spacing w:line="400" w:lineRule="exact"/>
        <w:rPr>
          <w:rFonts w:ascii="宋体" w:hAnsi="宋体"/>
          <w:color w:val="auto"/>
          <w:szCs w:val="21"/>
          <w:highlight w:val="none"/>
        </w:rPr>
      </w:pPr>
    </w:p>
    <w:p>
      <w:pPr>
        <w:snapToGrid w:val="0"/>
        <w:spacing w:line="400" w:lineRule="exact"/>
        <w:ind w:left="238"/>
        <w:jc w:val="right"/>
        <w:rPr>
          <w:rFonts w:ascii="宋体" w:hAnsi="宋体" w:cs="Arial"/>
          <w:color w:val="auto"/>
          <w:szCs w:val="21"/>
          <w:highlight w:val="none"/>
        </w:rPr>
      </w:pPr>
      <w:r>
        <w:rPr>
          <w:rFonts w:hint="eastAsia" w:ascii="宋体" w:hAnsi="宋体"/>
          <w:color w:val="auto"/>
          <w:szCs w:val="21"/>
          <w:highlight w:val="none"/>
        </w:rPr>
        <w:t xml:space="preserve">                                     广西东博会场馆运营有限公司</w:t>
      </w:r>
    </w:p>
    <w:p>
      <w:pPr>
        <w:snapToGrid w:val="0"/>
        <w:spacing w:line="400" w:lineRule="exact"/>
        <w:ind w:left="238"/>
        <w:jc w:val="right"/>
        <w:rPr>
          <w:rFonts w:ascii="宋体" w:hAnsi="宋体"/>
          <w:color w:val="auto"/>
          <w:szCs w:val="21"/>
          <w:highlight w:val="none"/>
          <w:u w:val="single"/>
        </w:rPr>
      </w:pPr>
      <w:r>
        <w:rPr>
          <w:rFonts w:hint="eastAsia" w:ascii="宋体" w:hAnsi="宋体"/>
          <w:color w:val="auto"/>
          <w:szCs w:val="21"/>
          <w:highlight w:val="none"/>
          <w:u w:val="single"/>
        </w:rPr>
        <w:t>2020年4月</w:t>
      </w:r>
      <w:r>
        <w:rPr>
          <w:rFonts w:hint="eastAsia" w:ascii="宋体" w:hAnsi="宋体"/>
          <w:color w:val="auto"/>
          <w:szCs w:val="21"/>
          <w:highlight w:val="none"/>
          <w:u w:val="single"/>
          <w:lang w:val="en-US" w:eastAsia="zh-CN"/>
        </w:rPr>
        <w:t>20</w:t>
      </w:r>
      <w:r>
        <w:rPr>
          <w:rFonts w:hint="eastAsia" w:ascii="宋体" w:hAnsi="宋体"/>
          <w:color w:val="auto"/>
          <w:szCs w:val="21"/>
          <w:highlight w:val="none"/>
          <w:u w:val="single"/>
        </w:rPr>
        <w:t>日</w:t>
      </w:r>
    </w:p>
    <w:p>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p>
    <w:p>
      <w:pPr>
        <w:pStyle w:val="3"/>
        <w:jc w:val="center"/>
        <w:rPr>
          <w:color w:val="auto"/>
          <w:highlight w:val="none"/>
        </w:rPr>
      </w:pPr>
      <w:bookmarkStart w:id="1" w:name="_Toc393040185"/>
      <w:r>
        <w:rPr>
          <w:rFonts w:hint="eastAsia"/>
          <w:color w:val="auto"/>
          <w:highlight w:val="none"/>
        </w:rPr>
        <w:t>第二章供应商须知</w:t>
      </w:r>
      <w:bookmarkEnd w:id="1"/>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pPr>
        <w:spacing w:line="400" w:lineRule="exact"/>
        <w:jc w:val="center"/>
        <w:rPr>
          <w:rFonts w:ascii="宋体" w:hAnsi="宋体"/>
          <w:b/>
          <w:color w:val="auto"/>
          <w:sz w:val="32"/>
          <w:szCs w:val="32"/>
          <w:highlight w:val="none"/>
        </w:rPr>
      </w:pPr>
    </w:p>
    <w:tbl>
      <w:tblPr>
        <w:tblStyle w:val="4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93"/>
        <w:gridCol w:w="6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pacing w:line="34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993" w:type="dxa"/>
          </w:tcPr>
          <w:p>
            <w:pPr>
              <w:spacing w:line="34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6854" w:type="dxa"/>
          </w:tcPr>
          <w:p>
            <w:pPr>
              <w:spacing w:line="340" w:lineRule="exact"/>
              <w:jc w:val="center"/>
              <w:rPr>
                <w:rFonts w:ascii="宋体" w:hAnsi="宋体"/>
                <w:b/>
                <w:color w:val="auto"/>
                <w:szCs w:val="21"/>
                <w:highlight w:val="none"/>
              </w:rPr>
            </w:pPr>
            <w:r>
              <w:rPr>
                <w:rFonts w:hint="eastAsia" w:ascii="宋体" w:hAnsi="宋体"/>
                <w:b/>
                <w:color w:val="auto"/>
                <w:szCs w:val="21"/>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1.1</w:t>
            </w:r>
          </w:p>
        </w:tc>
        <w:tc>
          <w:tcPr>
            <w:tcW w:w="6854" w:type="dxa"/>
            <w:vAlign w:val="center"/>
          </w:tcPr>
          <w:p>
            <w:pPr>
              <w:spacing w:line="340" w:lineRule="exact"/>
              <w:rPr>
                <w:rFonts w:ascii="宋体" w:hAnsi="宋体"/>
                <w:color w:val="auto"/>
                <w:szCs w:val="21"/>
                <w:highlight w:val="none"/>
                <w:u w:val="single"/>
              </w:rPr>
            </w:pPr>
            <w:r>
              <w:rPr>
                <w:rFonts w:hint="eastAsia" w:ascii="宋体" w:hAnsi="宋体"/>
                <w:color w:val="auto"/>
                <w:szCs w:val="21"/>
                <w:highlight w:val="none"/>
              </w:rPr>
              <w:t>项目名称：南宁国际会展中心地毯除异味、室内空气净化服务采购</w:t>
            </w:r>
          </w:p>
          <w:p>
            <w:pPr>
              <w:spacing w:line="340" w:lineRule="exact"/>
              <w:rPr>
                <w:rFonts w:ascii="宋体" w:hAnsi="宋体"/>
                <w:color w:val="auto"/>
                <w:szCs w:val="21"/>
                <w:highlight w:val="none"/>
                <w:u w:val="single"/>
              </w:rPr>
            </w:pPr>
            <w:r>
              <w:rPr>
                <w:rFonts w:hint="eastAsia" w:ascii="宋体" w:hAnsi="宋体"/>
                <w:color w:val="auto"/>
                <w:szCs w:val="21"/>
                <w:highlight w:val="none"/>
              </w:rPr>
              <w:t>项目编号：</w:t>
            </w:r>
          </w:p>
          <w:p>
            <w:pPr>
              <w:spacing w:line="340" w:lineRule="exact"/>
              <w:rPr>
                <w:rFonts w:ascii="宋体" w:hAnsi="宋体"/>
                <w:color w:val="auto"/>
                <w:szCs w:val="21"/>
                <w:highlight w:val="none"/>
                <w:u w:val="single"/>
              </w:rPr>
            </w:pPr>
            <w:r>
              <w:rPr>
                <w:rFonts w:hint="eastAsia" w:ascii="宋体" w:hAnsi="宋体"/>
                <w:color w:val="auto"/>
                <w:szCs w:val="21"/>
                <w:highlight w:val="none"/>
              </w:rPr>
              <w:t>项目预算：</w:t>
            </w:r>
            <w:r>
              <w:rPr>
                <w:rFonts w:hint="eastAsia" w:ascii="宋体" w:hAnsi="宋体"/>
                <w:color w:val="auto"/>
                <w:szCs w:val="21"/>
                <w:highlight w:val="none"/>
                <w:u w:val="single"/>
              </w:rPr>
              <w:t>8万元整</w:t>
            </w: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2</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3</w:t>
            </w: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供应商的基本条件：</w:t>
            </w:r>
          </w:p>
          <w:p>
            <w:pPr>
              <w:spacing w:line="340" w:lineRule="exact"/>
              <w:rPr>
                <w:rFonts w:ascii="宋体" w:hAnsi="宋体"/>
                <w:color w:val="auto"/>
                <w:szCs w:val="21"/>
                <w:highlight w:val="none"/>
              </w:rPr>
            </w:pPr>
            <w:r>
              <w:rPr>
                <w:rFonts w:hint="eastAsia" w:ascii="宋体" w:hAnsi="宋体"/>
                <w:color w:val="auto"/>
                <w:szCs w:val="21"/>
                <w:highlight w:val="none"/>
              </w:rPr>
              <w:t>1.国内注册（指按国家有关规定要求注册的），经营范围包含本次招标采购服务，具备法人资格的供应商；</w:t>
            </w:r>
          </w:p>
          <w:p>
            <w:pPr>
              <w:spacing w:line="340" w:lineRule="exac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.本项目不接受联合体竞标。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3</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4.2</w:t>
            </w:r>
          </w:p>
        </w:tc>
        <w:tc>
          <w:tcPr>
            <w:tcW w:w="6854" w:type="dxa"/>
            <w:vAlign w:val="center"/>
          </w:tcPr>
          <w:p>
            <w:pPr>
              <w:spacing w:line="340" w:lineRule="exact"/>
              <w:rPr>
                <w:rFonts w:ascii="宋体" w:hAnsi="宋体"/>
                <w:color w:val="auto"/>
                <w:szCs w:val="21"/>
                <w:highlight w:val="none"/>
              </w:rPr>
            </w:pPr>
            <w:r>
              <w:rPr>
                <w:rFonts w:hint="eastAsia" w:ascii="宋体" w:hAnsi="宋体"/>
                <w:b/>
                <w:color w:val="auto"/>
                <w:szCs w:val="21"/>
                <w:highlight w:val="none"/>
              </w:rPr>
              <w:t>成交服务费：0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4</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9.1</w:t>
            </w:r>
          </w:p>
        </w:tc>
        <w:tc>
          <w:tcPr>
            <w:tcW w:w="6854" w:type="dxa"/>
            <w:vAlign w:val="center"/>
          </w:tcPr>
          <w:p>
            <w:pPr>
              <w:tabs>
                <w:tab w:val="left" w:pos="525"/>
              </w:tabs>
              <w:snapToGrid w:val="0"/>
              <w:spacing w:line="340" w:lineRule="exact"/>
              <w:jc w:val="left"/>
              <w:rPr>
                <w:rFonts w:ascii="宋体" w:hAnsi="宋体"/>
                <w:color w:val="auto"/>
                <w:szCs w:val="21"/>
                <w:highlight w:val="none"/>
              </w:rPr>
            </w:pPr>
            <w:r>
              <w:rPr>
                <w:rFonts w:hint="eastAsia" w:ascii="宋体" w:hAnsi="宋体"/>
                <w:color w:val="auto"/>
                <w:szCs w:val="21"/>
                <w:highlight w:val="none"/>
              </w:rPr>
              <w:t>竞标报价：供应商必须就所投项目的全部内容作完整唯一报价，漏项报价的或有选择的或有条件的报价，其竞标将视为无效。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5</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10.1</w:t>
            </w: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竞争性谈判文件份数：正本一份、副本两份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6</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7</w:t>
            </w: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竞标有效期：自竞标截止之日起至采购合同签订之日止。</w:t>
            </w:r>
          </w:p>
          <w:p>
            <w:pPr>
              <w:pStyle w:val="14"/>
              <w:widowControl w:val="0"/>
              <w:tabs>
                <w:tab w:val="clear" w:pos="454"/>
              </w:tabs>
              <w:snapToGrid w:val="0"/>
              <w:spacing w:afterLines="0" w:line="340" w:lineRule="exact"/>
              <w:ind w:left="0" w:firstLine="0"/>
              <w:rPr>
                <w:rFonts w:ascii="宋体" w:hAnsi="宋体"/>
                <w:color w:val="auto"/>
                <w:sz w:val="21"/>
                <w:szCs w:val="21"/>
                <w:highlight w:val="none"/>
              </w:rPr>
            </w:pPr>
            <w:bookmarkStart w:id="2" w:name="_Toc254970681"/>
            <w:bookmarkStart w:id="3" w:name="_Toc254970540"/>
            <w:r>
              <w:rPr>
                <w:rFonts w:hint="eastAsia" w:ascii="宋体" w:hAnsi="宋体"/>
                <w:color w:val="auto"/>
                <w:sz w:val="21"/>
                <w:szCs w:val="21"/>
                <w:highlight w:val="none"/>
              </w:rPr>
              <w:t>1.未成交的响应文件竞标有效期内均应保持有效。</w:t>
            </w:r>
            <w:bookmarkEnd w:id="2"/>
            <w:bookmarkEnd w:id="3"/>
          </w:p>
          <w:p>
            <w:pPr>
              <w:pStyle w:val="14"/>
              <w:widowControl w:val="0"/>
              <w:tabs>
                <w:tab w:val="clear" w:pos="454"/>
              </w:tabs>
              <w:snapToGrid w:val="0"/>
              <w:spacing w:afterLines="0" w:line="340" w:lineRule="exact"/>
              <w:ind w:left="0" w:firstLine="0"/>
              <w:rPr>
                <w:rFonts w:ascii="宋体" w:hAnsi="宋体"/>
                <w:color w:val="auto"/>
                <w:sz w:val="21"/>
                <w:szCs w:val="21"/>
                <w:highlight w:val="none"/>
              </w:rPr>
            </w:pPr>
            <w:r>
              <w:rPr>
                <w:rFonts w:hint="eastAsia" w:ascii="宋体" w:hAnsi="宋体"/>
                <w:color w:val="auto"/>
                <w:sz w:val="21"/>
                <w:szCs w:val="21"/>
                <w:highlight w:val="none"/>
              </w:rPr>
              <w:t>2.成交供应商的响应文件自开标之日起至合同履行完毕止均应保持有效。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7</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8</w:t>
            </w:r>
          </w:p>
        </w:tc>
        <w:tc>
          <w:tcPr>
            <w:tcW w:w="6854" w:type="dxa"/>
            <w:vAlign w:val="center"/>
          </w:tcPr>
          <w:p>
            <w:pPr>
              <w:snapToGrid w:val="0"/>
              <w:spacing w:line="340" w:lineRule="exact"/>
              <w:rPr>
                <w:rFonts w:ascii="宋体" w:hAnsi="宋体"/>
                <w:color w:val="auto"/>
                <w:szCs w:val="21"/>
                <w:highlight w:val="none"/>
              </w:rPr>
            </w:pPr>
            <w:r>
              <w:rPr>
                <w:rFonts w:hint="eastAsia" w:ascii="宋体" w:hAnsi="宋体"/>
                <w:color w:val="auto"/>
                <w:szCs w:val="21"/>
                <w:highlight w:val="none"/>
              </w:rPr>
              <w:t>竞标保证金金额：0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8</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11</w:t>
            </w: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竞争性谈判文件接收时间：</w:t>
            </w:r>
            <w:r>
              <w:rPr>
                <w:rFonts w:hint="eastAsia" w:ascii="宋体" w:hAnsi="宋体"/>
                <w:color w:val="auto"/>
                <w:szCs w:val="21"/>
                <w:highlight w:val="none"/>
                <w:u w:val="single"/>
              </w:rPr>
              <w:t>2020年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28</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分止</w:t>
            </w:r>
          </w:p>
          <w:p>
            <w:pPr>
              <w:spacing w:line="340" w:lineRule="exact"/>
              <w:rPr>
                <w:rFonts w:ascii="宋体" w:hAnsi="宋体"/>
                <w:color w:val="auto"/>
                <w:szCs w:val="21"/>
                <w:highlight w:val="none"/>
              </w:rPr>
            </w:pPr>
            <w:r>
              <w:rPr>
                <w:rFonts w:hint="eastAsia" w:ascii="宋体" w:hAnsi="宋体"/>
                <w:color w:val="auto"/>
                <w:szCs w:val="21"/>
                <w:highlight w:val="none"/>
              </w:rPr>
              <w:t>地址：广西东博会场馆运营有限公司（</w:t>
            </w:r>
            <w:r>
              <w:rPr>
                <w:rFonts w:hint="eastAsia" w:ascii="宋体" w:hAnsi="宋体" w:cs="宋体"/>
                <w:color w:val="auto"/>
                <w:szCs w:val="21"/>
                <w:highlight w:val="none"/>
                <w:u w:val="single"/>
              </w:rPr>
              <w:t>南宁市民族大道延长线106号C区行政北楼219号办公室</w:t>
            </w: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9</w:t>
            </w:r>
          </w:p>
        </w:tc>
        <w:tc>
          <w:tcPr>
            <w:tcW w:w="993" w:type="dxa"/>
            <w:vAlign w:val="center"/>
          </w:tcPr>
          <w:p>
            <w:pPr>
              <w:spacing w:line="340" w:lineRule="exact"/>
              <w:jc w:val="center"/>
              <w:rPr>
                <w:rFonts w:ascii="宋体" w:hAnsi="宋体"/>
                <w:color w:val="auto"/>
                <w:szCs w:val="21"/>
                <w:highlight w:val="none"/>
              </w:rPr>
            </w:pP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谈判时间：</w:t>
            </w:r>
            <w:r>
              <w:rPr>
                <w:rFonts w:hint="eastAsia" w:ascii="宋体" w:hAnsi="宋体"/>
                <w:color w:val="auto"/>
                <w:szCs w:val="21"/>
                <w:highlight w:val="none"/>
                <w:u w:val="single"/>
              </w:rPr>
              <w:t>2020年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29</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分至</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分截标后</w:t>
            </w:r>
            <w:r>
              <w:rPr>
                <w:rFonts w:hint="eastAsia" w:ascii="宋体" w:hAnsi="宋体"/>
                <w:color w:val="auto"/>
                <w:szCs w:val="21"/>
                <w:highlight w:val="none"/>
              </w:rPr>
              <w:t>（具体时间另行通知）</w:t>
            </w:r>
          </w:p>
          <w:p>
            <w:pPr>
              <w:spacing w:line="340" w:lineRule="exact"/>
              <w:rPr>
                <w:rFonts w:ascii="宋体" w:hAnsi="宋体"/>
                <w:color w:val="auto"/>
                <w:szCs w:val="21"/>
                <w:highlight w:val="none"/>
              </w:rPr>
            </w:pPr>
            <w:r>
              <w:rPr>
                <w:rFonts w:hint="eastAsia" w:ascii="宋体" w:hAnsi="宋体"/>
                <w:color w:val="auto"/>
                <w:szCs w:val="21"/>
                <w:highlight w:val="none"/>
              </w:rPr>
              <w:t>谈判地点：</w:t>
            </w:r>
            <w:r>
              <w:rPr>
                <w:rFonts w:hint="eastAsia" w:ascii="宋体" w:hAnsi="宋体"/>
                <w:color w:val="auto"/>
                <w:szCs w:val="21"/>
                <w:highlight w:val="none"/>
                <w:u w:val="single"/>
              </w:rPr>
              <w:t>广西东博会场馆运营有限公司（南宁市</w:t>
            </w:r>
            <w:r>
              <w:rPr>
                <w:rFonts w:hint="eastAsia" w:ascii="宋体" w:hAnsi="宋体" w:cs="宋体"/>
                <w:color w:val="auto"/>
                <w:szCs w:val="21"/>
                <w:highlight w:val="none"/>
                <w:u w:val="single"/>
              </w:rPr>
              <w:t>民族大道延长线106号C区行政北楼221号办公室</w:t>
            </w:r>
            <w:r>
              <w:rPr>
                <w:rFonts w:hint="eastAsia" w:ascii="宋体" w:hAnsi="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10</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15.1</w:t>
            </w:r>
          </w:p>
        </w:tc>
        <w:tc>
          <w:tcPr>
            <w:tcW w:w="6854" w:type="dxa"/>
            <w:vAlign w:val="center"/>
          </w:tcPr>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履约保证金金额：</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成交人（乙方）在签订本项目合同前，须向招标采购单位（甲方）缴纳中标</w:t>
            </w:r>
            <w:r>
              <w:rPr>
                <w:rFonts w:hint="eastAsia" w:ascii="宋体" w:hAnsi="宋体"/>
                <w:color w:val="auto"/>
                <w:szCs w:val="21"/>
                <w:highlight w:val="none"/>
                <w:u w:val="single"/>
              </w:rPr>
              <w:t xml:space="preserve">金额5% </w:t>
            </w:r>
            <w:r>
              <w:rPr>
                <w:rFonts w:hint="eastAsia" w:ascii="宋体" w:hAnsi="宋体"/>
                <w:color w:val="auto"/>
                <w:szCs w:val="21"/>
                <w:highlight w:val="none"/>
              </w:rPr>
              <w:t>的履约保证金，以保证服务期间正常运行，如乙方违反相关法律法规，不履行所订立的合同，甲方有权取消乙方中标资格，服务协议自动终止。履约保证金不予返还，所造成的损失超过履约保证金数额的，还应对超出部分予以赔偿。服务期满后，如乙方无任何违约违法行为的，甲方应在10个工作日内退还履约保证金（不计息）.</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履约保证金交到采购人账户：</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开户名：广西东博会场馆运营有限公司</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开户行：中国建设银行股份有限公司南宁金湖广场支行</w:t>
            </w:r>
          </w:p>
          <w:p>
            <w:pPr>
              <w:autoSpaceDE w:val="0"/>
              <w:autoSpaceDN w:val="0"/>
              <w:snapToGrid w:val="0"/>
              <w:spacing w:line="340" w:lineRule="exact"/>
              <w:textAlignment w:val="bottom"/>
              <w:rPr>
                <w:rFonts w:hint="eastAsia" w:ascii="宋体" w:hAnsi="宋体"/>
                <w:color w:val="auto"/>
                <w:szCs w:val="21"/>
                <w:highlight w:val="none"/>
              </w:rPr>
            </w:pPr>
            <w:r>
              <w:rPr>
                <w:rFonts w:hint="eastAsia" w:ascii="宋体" w:hAnsi="宋体"/>
                <w:color w:val="auto"/>
                <w:szCs w:val="21"/>
                <w:highlight w:val="none"/>
              </w:rPr>
              <w:t>账  号：45050160426600000896</w:t>
            </w:r>
          </w:p>
          <w:p>
            <w:pPr>
              <w:autoSpaceDE w:val="0"/>
              <w:autoSpaceDN w:val="0"/>
              <w:snapToGrid w:val="0"/>
              <w:spacing w:line="340" w:lineRule="exact"/>
              <w:textAlignment w:val="bottom"/>
              <w:rPr>
                <w:rFonts w:hint="eastAsia"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11</w:t>
            </w:r>
          </w:p>
        </w:tc>
        <w:tc>
          <w:tcPr>
            <w:tcW w:w="993" w:type="dxa"/>
            <w:vAlign w:val="center"/>
          </w:tcPr>
          <w:p>
            <w:pPr>
              <w:spacing w:line="340" w:lineRule="exact"/>
              <w:jc w:val="center"/>
              <w:rPr>
                <w:rFonts w:ascii="宋体" w:hAnsi="宋体"/>
                <w:color w:val="auto"/>
                <w:szCs w:val="21"/>
                <w:highlight w:val="none"/>
              </w:rPr>
            </w:pPr>
          </w:p>
        </w:tc>
        <w:tc>
          <w:tcPr>
            <w:tcW w:w="6854" w:type="dxa"/>
            <w:vAlign w:val="center"/>
          </w:tcPr>
          <w:p>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特别要求：</w:t>
            </w:r>
          </w:p>
          <w:p>
            <w:pPr>
              <w:spacing w:line="340" w:lineRule="exact"/>
              <w:rPr>
                <w:rFonts w:ascii="宋体" w:hAnsi="宋体" w:cs="宋体"/>
                <w:color w:val="auto"/>
                <w:szCs w:val="21"/>
                <w:highlight w:val="none"/>
              </w:rPr>
            </w:pPr>
            <w:r>
              <w:rPr>
                <w:rFonts w:hint="eastAsia" w:ascii="宋体" w:hAnsi="宋体" w:cs="宋体"/>
                <w:color w:val="auto"/>
                <w:szCs w:val="21"/>
                <w:highlight w:val="none"/>
              </w:rPr>
              <w:t>1.本谈判采购文件中描述供应商的“公章”是指根据我国对公章的管理规定，用供应商法定主体行为名称制作的印章，除本谈判采购文件有特殊规定外，供应商的财务章、部门章、分公司章、工会章、合同章、投标专用章、业务专用章等其它形式印章均不能代替公章。</w:t>
            </w:r>
          </w:p>
          <w:p>
            <w:pPr>
              <w:spacing w:line="340" w:lineRule="exact"/>
              <w:rPr>
                <w:rFonts w:ascii="宋体" w:hAnsi="宋体" w:cs="宋体"/>
                <w:color w:val="auto"/>
                <w:szCs w:val="21"/>
                <w:highlight w:val="none"/>
              </w:rPr>
            </w:pPr>
            <w:r>
              <w:rPr>
                <w:rFonts w:hint="eastAsia" w:ascii="宋体" w:hAnsi="宋体" w:cs="宋体"/>
                <w:color w:val="auto"/>
                <w:szCs w:val="21"/>
                <w:highlight w:val="none"/>
              </w:rPr>
              <w:t>2.本谈判采购文件中描述供应商的“签字”是指供应商的法定代表人或被授权人亲自在谈判采购文件规定签署处亲笔写上个人的名字的行为，私章、签字章、印鉴、影印等其它形式均不能代替亲笔签字。</w:t>
            </w:r>
          </w:p>
        </w:tc>
      </w:tr>
    </w:tbl>
    <w:p>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w:t>
      </w:r>
    </w:p>
    <w:p>
      <w:pPr>
        <w:spacing w:line="360" w:lineRule="exact"/>
        <w:rPr>
          <w:rFonts w:ascii="宋体" w:hAnsi="宋体"/>
          <w:color w:val="auto"/>
          <w:szCs w:val="21"/>
          <w:highlight w:val="none"/>
        </w:rPr>
      </w:pP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一、总　则</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适用范围</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1.1 本文件仅适用于本文件中所叙述的货物、服务类采购项目。</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定义</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2.1“采购人”是指：</w:t>
      </w:r>
      <w:r>
        <w:rPr>
          <w:rFonts w:hint="eastAsia" w:ascii="宋体" w:hAnsi="宋体"/>
          <w:color w:val="auto"/>
          <w:szCs w:val="21"/>
          <w:highlight w:val="none"/>
          <w:u w:val="single"/>
        </w:rPr>
        <w:t>广西东博会场馆运营有限公司</w:t>
      </w:r>
    </w:p>
    <w:p>
      <w:pPr>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2.2“采购代理机构”：无</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2.3“供应商”是指响应本文件要求，参加谈判的法人或者其他组织。如果该供应商在本次谈判中成交，即成为“成交供应商”。</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2.5“服务”是指除货物和工程以外的其他采购对象。</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2.6“响应文件”是指：供应商根据本文件要求，编制包含报价、技术和服务等所有内容的响应文件。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2.7★本项目不接受联合体投标，投标人以联合体形式参加投标的，投标无效。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供应商的基本条件：</w:t>
      </w:r>
      <w:r>
        <w:rPr>
          <w:rFonts w:hint="eastAsia" w:ascii="宋体" w:hAnsi="宋体"/>
          <w:b/>
          <w:color w:val="auto"/>
          <w:szCs w:val="21"/>
          <w:highlight w:val="none"/>
        </w:rPr>
        <w:t>见“供应商须知前附表”</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3.1 联合体投标</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3.1.1本项目明确不接受联合体形式投标的，本谈判采购文件所有相关联合体要求及格式文件均不适用。供应商以联合体形式参加投标的，竞标无效。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3.1.2本项目接受联合体形式投标的，联合体投标要求如下：</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供应商为联合体形式的，必须提交联合体各方资格文件、联合体协议（格式见附件），否则将视为非实质响应而被拒绝。同时还应遵守以下规定，否则竞标无效：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（1）联合体各方必须签订联合体协议书，明确联合体牵头人和各方权利、义务及分工、合同工作量比例；</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（2）除本谈判采购文件另有规定，联合体各方中至少有一方应当符合本谈判采购文件规定的投标人特定资格条件；联合体中有同类资质的投标人应按照资质等级较低的投标人确定资质等级；</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（3）联合体各方不得再单独或与其他供应商组成新的联合体参加同一项目的采购活动；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（4）联合体的业绩和信誉按联合体主体方（或牵头方）计算。</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谈判费用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4.1 供应商应自行承担所有与编写和提交响应文件有关的费用，不论谈判结果如何，采购人在任何情况下无义务和责任承担此类费用。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4.2本项目代理服务费具体见</w:t>
      </w:r>
      <w:r>
        <w:rPr>
          <w:rFonts w:hint="eastAsia" w:ascii="宋体" w:hAnsi="宋体"/>
          <w:b/>
          <w:color w:val="auto"/>
          <w:szCs w:val="21"/>
          <w:highlight w:val="none"/>
        </w:rPr>
        <w:t>“供应商须知前附表”</w:t>
      </w:r>
      <w:r>
        <w:rPr>
          <w:rFonts w:hint="eastAsia" w:ascii="宋体" w:hAnsi="宋体"/>
          <w:color w:val="auto"/>
          <w:szCs w:val="21"/>
          <w:highlight w:val="none"/>
        </w:rPr>
        <w:t>。</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二、响应文件的编制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 响应文件编制基本要求</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5.1供应商对响应文件的编制应按要求装订和封装。</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5.2供应商提交的响应文件以及供应商与采购人就有关谈判的所有来往函电均应使用中文。供应商提交的支持文件和印刷的文献可以使用别的语言，但其相应内容必须附有中文翻译文本，在解释响应文件时以翻译文本为主。</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5.3供应商应认真阅读、并充分理解本文件的全部内容（包括所有的补充、修改内容），承诺并履行本文件中各项条款规定及要求。</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5.4响应文件必须按本文件的全部内容，包括所有的补充通知及附件进行编制。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5.5如因供应商只填写和提供了本文件要求的部分内容和附件，而给评审造成困难，其可能导致的结果和责任由供应商自行承担。</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5.6响应文件的组成。</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响应文件应分为价格文件和商务技术文件两个部分组成。</w:t>
      </w:r>
      <w:r>
        <w:rPr>
          <w:rFonts w:hint="eastAsia" w:ascii="宋体" w:hAnsi="宋体"/>
          <w:b/>
          <w:color w:val="auto"/>
          <w:szCs w:val="21"/>
          <w:highlight w:val="none"/>
        </w:rPr>
        <w:t>（下列文件均须加盖竞标单位公章；应该有的必须提供，如未提供，评审小组有权拒绝其响应文件）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5.6.1价格文件</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（1）谈判书（格式见附件一）；</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（2）谈判报价表；（格式见附件二）</w:t>
      </w:r>
      <w:r>
        <w:rPr>
          <w:rFonts w:hint="eastAsia" w:ascii="宋体" w:hAnsi="宋体"/>
          <w:b/>
          <w:color w:val="auto"/>
          <w:szCs w:val="21"/>
          <w:highlight w:val="none"/>
        </w:rPr>
        <w:t>（必须提供）</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5.6.2 商务技术文件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）有效的新版“营业执照”副本或《事业单位法人证书》复印件</w:t>
      </w:r>
      <w:r>
        <w:rPr>
          <w:rFonts w:ascii="宋体" w:hAnsi="宋体"/>
          <w:color w:val="auto"/>
          <w:szCs w:val="21"/>
          <w:highlight w:val="none"/>
        </w:rPr>
        <w:t>(</w:t>
      </w:r>
      <w:r>
        <w:rPr>
          <w:rFonts w:hint="eastAsia" w:ascii="宋体" w:hAnsi="宋体"/>
          <w:color w:val="auto"/>
          <w:szCs w:val="21"/>
          <w:highlight w:val="none"/>
        </w:rPr>
        <w:t>经营范围包含本次采购服务）；</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）法定代表人身份证明原件及法定代表人有效身份证正反面复印件（格式见附件六）；</w:t>
      </w:r>
      <w:r>
        <w:rPr>
          <w:rFonts w:hint="eastAsia" w:ascii="宋体" w:hAnsi="宋体"/>
          <w:b/>
          <w:color w:val="auto"/>
          <w:szCs w:val="21"/>
          <w:highlight w:val="none"/>
        </w:rPr>
        <w:t>（必须提供）</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）法定代表人授权委托书原件及被授权人有效身份证正反面复印件（格式见附件六）；</w:t>
      </w:r>
      <w:r>
        <w:rPr>
          <w:rFonts w:hint="eastAsia" w:ascii="宋体" w:hAnsi="宋体"/>
          <w:b/>
          <w:color w:val="auto"/>
          <w:szCs w:val="21"/>
          <w:highlight w:val="none"/>
        </w:rPr>
        <w:t>[委托代理时必须提供，同时须提供第（4）项]</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）联合体竞标协议书（正本用原件，副本可用复印件）（格式见附件六）；</w:t>
      </w:r>
      <w:r>
        <w:rPr>
          <w:rFonts w:hint="eastAsia" w:ascii="宋体" w:hAnsi="宋体"/>
          <w:b/>
          <w:color w:val="auto"/>
          <w:szCs w:val="21"/>
          <w:highlight w:val="none"/>
        </w:rPr>
        <w:t>[联合体投标时必须提供（若本项目不接受联合体投标的此项不适用）]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）参加采购活动前三年内在经营活动中没有重大违法记录的书面声明（格式见附件七）；</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）服务响应偏离情况说明表（格式见附件三）、商务条款偏离表（格式见附件四）；</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）投入设备响应表（格式见附件五）；</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）服务承诺（请结合第三章“项目需求”自行编写）；</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）项目实施人员一览表（格式自拟）；</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）优惠条件：供应商承诺给予采购人的各种优惠条件，包括服务、备品备件、专用耗材等方面的优惠(格式自拟)</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）质量保证措施；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）国家有强制性要求的应按国家规定执行，并提供相关证明材料；</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）供应商认为需要提供的有关资料。</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 计量单位</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6.1除技术要求中另有规定外，本文件所要求使用的计量单位均应采用国家法定计量单位。</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7.响应文件有效期</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7.1响应文件有效期按须知前附表规定的期限，有效期不足的响应文件按无效处理。</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7.2未成交的响应文件有效期内均应保持有效。</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7.3成交供应商的响应文件自响应文件递交截止之日起至合同履行完毕止均应保持有效。</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三、谈判报价要求</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.1供应商必须就所投项目的全部内容作完整唯一报价，漏项报价的或有选择的或有条件的报价，其竞标将视为无效。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.2对于本文件中未列明，而供应商认为必需的费用也需列入总报价。在合同实施时，采购人将不予支付成交供应商没有列入的项目费用，并认为此项目的费用已包括在总报价中。</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.3成交供应商负责本项目所需货物的制造、运输、售后服务等全部工作。</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四、响应文件的份数、封装和递交</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 谈判响应文件的份数和封装</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1供应商应将响应文件中“价格文件”和“商务技术文件”单独封装，即：“价格文件”正本一份，副本两份；“商务技术文件”正本一份，副本两份。信封上标明“价格文件”，“商务技术文件”，然后再将所有信封封装在一个外层信封中。</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.2响应文件的信封上应写明：</w:t>
      </w:r>
    </w:p>
    <w:p>
      <w:pPr>
        <w:spacing w:line="360" w:lineRule="exact"/>
        <w:ind w:left="420"/>
        <w:rPr>
          <w:rFonts w:ascii="宋体" w:hAnsi="宋体"/>
          <w:color w:val="auto"/>
          <w:szCs w:val="21"/>
          <w:highlight w:val="none"/>
        </w:rPr>
      </w:pPr>
      <w:r>
        <w:rPr>
          <w:rFonts w:hint="eastAsia" w:ascii="宋体" w:hAnsi="宋体"/>
          <w:color w:val="auto"/>
          <w:szCs w:val="21"/>
          <w:highlight w:val="none"/>
        </w:rPr>
        <w:t>（1）项目编号；</w:t>
      </w:r>
    </w:p>
    <w:p>
      <w:pPr>
        <w:spacing w:line="360" w:lineRule="exact"/>
        <w:ind w:left="420"/>
        <w:rPr>
          <w:rFonts w:ascii="宋体" w:hAnsi="宋体"/>
          <w:color w:val="auto"/>
          <w:szCs w:val="21"/>
          <w:highlight w:val="none"/>
        </w:rPr>
      </w:pPr>
      <w:r>
        <w:rPr>
          <w:rFonts w:hint="eastAsia" w:ascii="宋体" w:hAnsi="宋体"/>
          <w:color w:val="auto"/>
          <w:szCs w:val="21"/>
          <w:highlight w:val="none"/>
        </w:rPr>
        <w:t>（2）项目名称；</w:t>
      </w:r>
    </w:p>
    <w:p>
      <w:pPr>
        <w:spacing w:line="360" w:lineRule="exact"/>
        <w:ind w:left="420"/>
        <w:rPr>
          <w:rFonts w:ascii="宋体" w:hAnsi="宋体"/>
          <w:color w:val="auto"/>
          <w:szCs w:val="21"/>
          <w:highlight w:val="none"/>
        </w:rPr>
      </w:pPr>
      <w:r>
        <w:rPr>
          <w:rFonts w:hint="eastAsia" w:ascii="宋体" w:hAnsi="宋体"/>
          <w:color w:val="auto"/>
          <w:szCs w:val="21"/>
          <w:highlight w:val="none"/>
        </w:rPr>
        <w:t>（3）供应商名称。</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 响应文件的递交</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所有响应文件应于谈判采购文件中规定的时间前递交到广西东博会场馆运营有限公司。</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.迟交的响应文件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广西东博会场馆运营有限公司拒绝或原封退回在其规定的递交响应文件截止时间之后收到的任何响应文件。</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五、响应文件评审及谈判的步骤</w:t>
      </w:r>
    </w:p>
    <w:p>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.1谈判小组由采购人代表和</w:t>
      </w:r>
      <w:r>
        <w:rPr>
          <w:rFonts w:hint="eastAsia" w:ascii="宋体" w:hAnsi="宋体" w:cs="宋体"/>
          <w:color w:val="auto"/>
          <w:kern w:val="0"/>
          <w:szCs w:val="21"/>
          <w:highlight w:val="none"/>
          <w:lang w:eastAsia="zh-CN"/>
        </w:rPr>
        <w:t>相关评委</w:t>
      </w:r>
      <w:r>
        <w:rPr>
          <w:rFonts w:hint="eastAsia" w:ascii="宋体" w:hAnsi="宋体" w:cs="宋体"/>
          <w:color w:val="auto"/>
          <w:kern w:val="0"/>
          <w:szCs w:val="21"/>
          <w:highlight w:val="none"/>
        </w:rPr>
        <w:t>共3人以上单数组成，其中</w:t>
      </w:r>
      <w:r>
        <w:rPr>
          <w:rFonts w:hint="eastAsia" w:ascii="宋体" w:hAnsi="宋体" w:cs="宋体"/>
          <w:color w:val="auto"/>
          <w:kern w:val="0"/>
          <w:sz w:val="20"/>
          <w:szCs w:val="20"/>
          <w:highlight w:val="none"/>
          <w:lang w:eastAsia="zh-CN"/>
        </w:rPr>
        <w:t>相关评委</w:t>
      </w:r>
      <w:r>
        <w:rPr>
          <w:rFonts w:hint="eastAsia" w:ascii="宋体" w:hAnsi="宋体" w:cs="宋体"/>
          <w:color w:val="auto"/>
          <w:kern w:val="0"/>
          <w:szCs w:val="21"/>
          <w:highlight w:val="none"/>
        </w:rPr>
        <w:t>人数不得少于谈判小组成员总数的2/3。</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.2</w:t>
      </w:r>
      <w:r>
        <w:rPr>
          <w:rFonts w:ascii="宋体" w:hAnsi="宋体"/>
          <w:color w:val="auto"/>
          <w:szCs w:val="21"/>
          <w:highlight w:val="none"/>
        </w:rPr>
        <w:t>谈判小组</w:t>
      </w:r>
      <w:r>
        <w:rPr>
          <w:rFonts w:hint="eastAsia" w:ascii="宋体" w:hAnsi="宋体"/>
          <w:color w:val="auto"/>
          <w:szCs w:val="21"/>
          <w:highlight w:val="none"/>
        </w:rPr>
        <w:t>确认谈判采购文件。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.3谈判小组对竞标资格条件及响应文件的有效性、完整性和响应程度进行审查。</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.3.1澄清</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.4谈判</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谈判小组按已确定的谈判顺序集中与单一供应商分别进行谈判，并给予所有参加谈判的供应商平等的谈判机会。谈判的内容包括技术性条件、商务性条件以及谈判小组认为需要谈判的内容。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对谈判采购文件作出的实质性变动是谈判采购文件的有效组成部分，谈判小组应当及时以书面形式同时通知所有参加谈判的供应商。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供应商应当按照谈判采购文件的变动情况和谈判小组的要求重新提交响应文件，并由其法定代表人或授权代表签字或者加盖公章。由授权代表签字的，应当附法定代表人授权书。</w:t>
      </w:r>
    </w:p>
    <w:p>
      <w:pPr>
        <w:spacing w:line="360" w:lineRule="exact"/>
        <w:ind w:firstLine="404" w:firstLineChars="200"/>
        <w:rPr>
          <w:rFonts w:ascii="宋体" w:hAnsi="宋体"/>
          <w:color w:val="auto"/>
          <w:spacing w:val="-4"/>
          <w:szCs w:val="21"/>
          <w:highlight w:val="none"/>
        </w:rPr>
      </w:pPr>
      <w:r>
        <w:rPr>
          <w:rFonts w:hint="eastAsia" w:ascii="宋体" w:hAnsi="宋体"/>
          <w:color w:val="auto"/>
          <w:spacing w:val="-4"/>
          <w:szCs w:val="21"/>
          <w:highlight w:val="none"/>
        </w:rPr>
        <w:t>谈判中，谈判的任何一方不得透露与谈判有关的其他供应商的技术资料、价格和其他信息。</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我公司根据需要对谈判过程和重要谈判内容进行记录，谈判双方在记录上签字确认。</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.5最后报价</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5.1谈判采购文件能够详细列明采购标的的技术、服务要求的，谈判结束后，谈判小组应当要求所有继续参加谈判的供应商在规定时间内密封提交最后报价，原则上参加采购的供应商不得少于3家，经采购人确认，提交最后报价的供应商可以为2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5.2谈判采购文件不能详细列明采购标的的技术、服务要求，需经谈判由供应商提供最终设计方案或解决方案的，谈判结束后，谈判小组应当按照少数服从多数的原则投票推荐至少2家以上供应商的设计方案或者解决方案，并要求其在规定时间内密封提交最后报价。</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.5.3最后报价是供应商响应文件的有效组成部分。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.5.4已经提交响应文件的供应商，在提交最后报价之前，可以根据谈判情况退出谈判。采购人将退还退出谈判的供应商的保证金。</w:t>
      </w:r>
    </w:p>
    <w:p>
      <w:pPr>
        <w:widowControl/>
        <w:tabs>
          <w:tab w:val="left" w:pos="540"/>
        </w:tabs>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.6本采购项目是以采购人采购预算价为最高限价，超出采购预算价的最终竞标报价，谈判小组将不予以评审。</w:t>
      </w:r>
    </w:p>
    <w:p>
      <w:pPr>
        <w:widowControl/>
        <w:tabs>
          <w:tab w:val="left" w:pos="540"/>
        </w:tabs>
        <w:spacing w:line="360" w:lineRule="exact"/>
        <w:ind w:firstLine="420" w:firstLineChars="200"/>
        <w:jc w:val="left"/>
        <w:rPr>
          <w:rFonts w:hAnsi="宋体"/>
          <w:b/>
          <w:bCs/>
          <w:color w:val="auto"/>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.7</w:t>
      </w:r>
      <w:r>
        <w:rPr>
          <w:rFonts w:hint="eastAsia" w:hAnsi="宋体"/>
          <w:b/>
          <w:bCs/>
          <w:color w:val="auto"/>
          <w:highlight w:val="none"/>
        </w:rPr>
        <w:t>在评标过程中出现法律法规和谈判采购文件均没有明确规定的情形时，由谈判小组现场协商解决，协商不一致的，由全体谈判小组投票表决，以得票率二分之一以上专家的意见为准。</w:t>
      </w:r>
    </w:p>
    <w:p>
      <w:pPr>
        <w:widowControl/>
        <w:tabs>
          <w:tab w:val="left" w:pos="540"/>
        </w:tabs>
        <w:spacing w:line="360" w:lineRule="exact"/>
        <w:ind w:firstLine="420" w:firstLineChars="200"/>
        <w:jc w:val="left"/>
        <w:rPr>
          <w:rFonts w:ascii="宋体" w:hAnsi="宋体"/>
          <w:color w:val="auto"/>
          <w:szCs w:val="21"/>
          <w:highlight w:val="none"/>
        </w:rPr>
      </w:pPr>
      <w:r>
        <w:rPr>
          <w:rFonts w:hint="eastAsia" w:ascii="宋体" w:hAnsi="宋体"/>
          <w:bCs/>
          <w:color w:val="auto"/>
          <w:highlight w:val="none"/>
        </w:rPr>
        <w:t>1</w:t>
      </w:r>
      <w:r>
        <w:rPr>
          <w:rFonts w:hint="eastAsia" w:ascii="宋体" w:hAnsi="宋体"/>
          <w:bCs/>
          <w:color w:val="auto"/>
          <w:highlight w:val="none"/>
          <w:lang w:val="en-US" w:eastAsia="zh-CN"/>
        </w:rPr>
        <w:t>2</w:t>
      </w:r>
      <w:r>
        <w:rPr>
          <w:rFonts w:hint="eastAsia" w:ascii="宋体" w:hAnsi="宋体"/>
          <w:bCs/>
          <w:color w:val="auto"/>
          <w:highlight w:val="none"/>
        </w:rPr>
        <w:t>.8</w:t>
      </w:r>
      <w:r>
        <w:rPr>
          <w:rFonts w:hint="eastAsia" w:ascii="宋体" w:hAnsi="宋体"/>
          <w:color w:val="auto"/>
          <w:szCs w:val="21"/>
          <w:highlight w:val="none"/>
        </w:rPr>
        <w:t>特别说明：</w:t>
      </w:r>
    </w:p>
    <w:p>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出现下列情形之一的，评审时，取其中通过资格审查后的报价最低一家为有效供应商；当报价相同时，评标价相同时，依次按技术指标高优先、质量保证期长优先、处理问题响应时间短优先的顺序排列,评标价相同且前述指标均相同时，由谈判小组各成员对评标价相同的供应商当场投票表决，得票多者优先；按前述程序仍无法确定供应商排名顺序的，由评审委员会抽签决定。多家供应商参加同一项目或同一分标的竞标时，如其中两家或两家以上供应商的法定代表人为同一人或相互之间存在投资关系且达到控股的，应当按一个供应商认定。</w:t>
      </w:r>
    </w:p>
    <w:p>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（2）供应商竞标所使用的资格、信誉、荣誉、业绩与企业认证必须为本法人所拥有。</w:t>
      </w:r>
    </w:p>
    <w:p>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（3）供应商应仔细阅读谈判采购文件的所有内容，按照谈判采购文件的要求提交响应文件，并对所提供的全部资料的真实性承担法律责任。</w:t>
      </w:r>
    </w:p>
    <w:p>
      <w:pPr>
        <w:widowControl/>
        <w:spacing w:line="360" w:lineRule="exact"/>
        <w:ind w:firstLine="420" w:firstLineChars="200"/>
        <w:jc w:val="left"/>
        <w:rPr>
          <w:rFonts w:hAnsi="宋体"/>
          <w:color w:val="auto"/>
          <w:highlight w:val="none"/>
        </w:rPr>
      </w:pPr>
      <w:r>
        <w:rPr>
          <w:rFonts w:hint="eastAsia" w:ascii="宋体" w:hAnsi="宋体"/>
          <w:color w:val="auto"/>
          <w:szCs w:val="21"/>
          <w:highlight w:val="none"/>
        </w:rPr>
        <w:t>（4）供应商在竞标活动中提供任何虚假材料，其竞标无效，并报有关部门查处；中标后发现的，成交供应商须依照《中华人民共和国消费者权益保护法》规定赔偿采购人，且民事赔偿并不免除违法供应商的行政与刑事责任。</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六、确定成交供应商办法及结果公告</w:t>
      </w:r>
    </w:p>
    <w:p>
      <w:pPr>
        <w:spacing w:line="360" w:lineRule="exact"/>
        <w:ind w:firstLine="420" w:firstLineChars="200"/>
        <w:rPr>
          <w:rFonts w:ascii="宋体" w:hAnsi="宋体" w:cs="宋体"/>
          <w:color w:val="auto"/>
          <w:kern w:val="0"/>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.1</w:t>
      </w:r>
      <w:r>
        <w:rPr>
          <w:rFonts w:ascii="宋体" w:hAnsi="宋体" w:cs="宋体"/>
          <w:color w:val="auto"/>
          <w:kern w:val="0"/>
          <w:szCs w:val="21"/>
          <w:highlight w:val="none"/>
        </w:rPr>
        <w:t>采购人应当</w:t>
      </w:r>
      <w:r>
        <w:rPr>
          <w:rFonts w:hint="eastAsia" w:ascii="宋体" w:hAnsi="宋体" w:cs="宋体"/>
          <w:color w:val="auto"/>
          <w:kern w:val="0"/>
          <w:szCs w:val="21"/>
          <w:highlight w:val="none"/>
        </w:rPr>
        <w:t>评标</w:t>
      </w:r>
      <w:r>
        <w:rPr>
          <w:rFonts w:ascii="宋体" w:hAnsi="宋体" w:cs="宋体"/>
          <w:color w:val="auto"/>
          <w:kern w:val="0"/>
          <w:szCs w:val="21"/>
          <w:highlight w:val="none"/>
        </w:rPr>
        <w:t>后5个工作日内确定成交供应商</w:t>
      </w:r>
      <w:r>
        <w:rPr>
          <w:rFonts w:hint="eastAsia" w:ascii="宋体" w:hAnsi="宋体" w:cs="宋体"/>
          <w:color w:val="auto"/>
          <w:kern w:val="0"/>
          <w:szCs w:val="21"/>
          <w:highlight w:val="none"/>
        </w:rPr>
        <w:t>。</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.2采购人</w:t>
      </w:r>
      <w:r>
        <w:rPr>
          <w:rFonts w:ascii="宋体" w:hAnsi="宋体"/>
          <w:color w:val="auto"/>
          <w:szCs w:val="21"/>
          <w:highlight w:val="none"/>
        </w:rPr>
        <w:t>应当在成交供应商确定后2个工作日内，在</w:t>
      </w:r>
      <w:r>
        <w:rPr>
          <w:rFonts w:hint="eastAsia" w:ascii="宋体" w:hAnsi="宋体"/>
          <w:color w:val="auto"/>
          <w:szCs w:val="21"/>
          <w:highlight w:val="none"/>
        </w:rPr>
        <w:t>广西国际博览集团官网</w:t>
      </w:r>
      <w:r>
        <w:rPr>
          <w:rFonts w:hint="eastAsia" w:ascii="宋体" w:hAnsi="宋体"/>
          <w:color w:val="auto"/>
          <w:szCs w:val="21"/>
          <w:highlight w:val="none"/>
          <w:lang w:eastAsia="zh-CN"/>
        </w:rPr>
        <w:t>、广西东博会场馆运营有时公司官网</w:t>
      </w:r>
      <w:r>
        <w:rPr>
          <w:rFonts w:ascii="宋体" w:hAnsi="宋体"/>
          <w:color w:val="auto"/>
          <w:szCs w:val="21"/>
          <w:highlight w:val="none"/>
        </w:rPr>
        <w:t>上公告成交结果，同时向成交供应商发出成交通知书</w:t>
      </w:r>
      <w:r>
        <w:rPr>
          <w:rFonts w:hint="eastAsia" w:ascii="宋体" w:hAnsi="宋体"/>
          <w:color w:val="auto"/>
          <w:szCs w:val="21"/>
          <w:highlight w:val="none"/>
        </w:rPr>
        <w:t>。</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七、履约保证金</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.1 是否收取履约保证金具体见</w:t>
      </w:r>
      <w:r>
        <w:rPr>
          <w:rFonts w:hint="eastAsia" w:ascii="宋体" w:hAnsi="宋体"/>
          <w:b/>
          <w:color w:val="auto"/>
          <w:szCs w:val="21"/>
          <w:highlight w:val="none"/>
        </w:rPr>
        <w:t>“供应商须知前附表”</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成交人在收到采购人的《成交通知书》后，签订合同前，应按照</w:t>
      </w:r>
      <w:r>
        <w:rPr>
          <w:rFonts w:hint="eastAsia" w:ascii="宋体" w:hAnsi="宋体"/>
          <w:b/>
          <w:color w:val="auto"/>
          <w:szCs w:val="21"/>
          <w:highlight w:val="none"/>
        </w:rPr>
        <w:t>供应商须知前附表</w:t>
      </w:r>
      <w:r>
        <w:rPr>
          <w:rFonts w:hint="eastAsia" w:ascii="宋体" w:hAnsi="宋体"/>
          <w:color w:val="auto"/>
          <w:szCs w:val="21"/>
          <w:highlight w:val="none"/>
        </w:rPr>
        <w:t>的规定提交履约保证金。成交人没有按照规定提交履约保证金的，视为放弃中标，其竞标保证金不予退还。</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.3 签订合同后，如成交人不按双方签订的合同规定履约，则没收其全部履约保证金，履约保证金不足以赔偿损失的，按实际损失赔偿。</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4 履约保证金在成交供应商按合同约定履约完毕后，如乙方无任何违约违法行为的，由供应商按规定提出申请，甲方在10个工作日内无息退还履约保证金。</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.5 在履约保证金退还日期前，若成交人的开户名称、开户银行、帐号有变动的，请以书面形式通知原履约保证金收取单位，否则由此产生的后果由成交人自负。</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八、签订合同</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.1成交供应商在收到成交通知书后，按规定与采购人签订采购合同。</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.2</w:t>
      </w:r>
      <w:r>
        <w:rPr>
          <w:rFonts w:ascii="宋体" w:hAnsi="宋体"/>
          <w:color w:val="auto"/>
          <w:szCs w:val="21"/>
          <w:highlight w:val="none"/>
        </w:rPr>
        <w:t>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pPr>
        <w:pStyle w:val="3"/>
        <w:rPr>
          <w:color w:val="auto"/>
          <w:highlight w:val="none"/>
        </w:rPr>
      </w:pPr>
      <w:bookmarkStart w:id="4" w:name="_Toc393040186"/>
    </w:p>
    <w:p>
      <w:pPr>
        <w:rPr>
          <w:color w:val="auto"/>
          <w:highlight w:val="none"/>
        </w:rPr>
      </w:pPr>
    </w:p>
    <w:p>
      <w:pPr>
        <w:pStyle w:val="3"/>
        <w:jc w:val="center"/>
        <w:rPr>
          <w:color w:val="auto"/>
          <w:highlight w:val="none"/>
        </w:rPr>
      </w:pPr>
      <w:r>
        <w:rPr>
          <w:rFonts w:hint="eastAsia"/>
          <w:color w:val="auto"/>
          <w:highlight w:val="none"/>
        </w:rPr>
        <w:t>第三章项目需求</w:t>
      </w:r>
      <w:bookmarkEnd w:id="4"/>
    </w:p>
    <w:p>
      <w:pPr>
        <w:spacing w:line="320" w:lineRule="exact"/>
        <w:jc w:val="left"/>
        <w:rPr>
          <w:rFonts w:ascii="宋体" w:hAnsi="宋体"/>
          <w:b/>
          <w:color w:val="auto"/>
          <w:szCs w:val="21"/>
          <w:highlight w:val="none"/>
        </w:rPr>
      </w:pPr>
      <w:r>
        <w:rPr>
          <w:rFonts w:hint="eastAsia" w:ascii="宋体" w:hAnsi="宋体"/>
          <w:b/>
          <w:color w:val="auto"/>
          <w:szCs w:val="21"/>
          <w:highlight w:val="none"/>
        </w:rPr>
        <w:t>说明：</w:t>
      </w:r>
    </w:p>
    <w:p>
      <w:pPr>
        <w:spacing w:line="320" w:lineRule="exact"/>
        <w:ind w:firstLine="424" w:firstLineChars="202"/>
        <w:jc w:val="left"/>
        <w:rPr>
          <w:rFonts w:ascii="宋体" w:hAnsi="宋体"/>
          <w:color w:val="auto"/>
          <w:szCs w:val="21"/>
          <w:highlight w:val="none"/>
        </w:rPr>
      </w:pPr>
      <w:r>
        <w:rPr>
          <w:rFonts w:hint="eastAsia" w:ascii="宋体" w:hAnsi="宋体"/>
          <w:color w:val="auto"/>
          <w:szCs w:val="21"/>
          <w:highlight w:val="none"/>
        </w:rPr>
        <w:t>1.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spacing w:line="320" w:lineRule="exact"/>
        <w:ind w:firstLine="426" w:firstLineChars="202"/>
        <w:jc w:val="left"/>
        <w:rPr>
          <w:rFonts w:ascii="宋体" w:hAnsi="宋体"/>
          <w:b/>
          <w:color w:val="auto"/>
          <w:szCs w:val="21"/>
          <w:highlight w:val="none"/>
        </w:rPr>
      </w:pPr>
      <w:r>
        <w:rPr>
          <w:rFonts w:hint="eastAsia" w:ascii="宋体" w:hAnsi="宋体"/>
          <w:b/>
          <w:color w:val="auto"/>
          <w:szCs w:val="21"/>
          <w:highlight w:val="none"/>
        </w:rPr>
        <w:t>2.下列服务需求说明书所列内容，打★实质性响应内容，供应商必须响应，否则竞标无效。</w:t>
      </w:r>
    </w:p>
    <w:tbl>
      <w:tblPr>
        <w:tblStyle w:val="4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85"/>
        <w:gridCol w:w="1019"/>
        <w:gridCol w:w="6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5" w:type="dxa"/>
            <w:vAlign w:val="center"/>
          </w:tcPr>
          <w:p>
            <w:pPr>
              <w:adjustRightInd w:val="0"/>
              <w:snapToGrid w:val="0"/>
              <w:spacing w:line="320" w:lineRule="exact"/>
              <w:rPr>
                <w:rFonts w:ascii="宋体" w:hAnsi="宋体" w:cs="宋体"/>
                <w:b/>
                <w:color w:val="auto"/>
                <w:szCs w:val="21"/>
                <w:highlight w:val="none"/>
              </w:rPr>
            </w:pPr>
            <w:r>
              <w:rPr>
                <w:rFonts w:hint="eastAsia" w:ascii="宋体" w:hAnsi="宋体" w:cs="宋体"/>
                <w:b/>
                <w:color w:val="auto"/>
                <w:szCs w:val="21"/>
                <w:highlight w:val="none"/>
              </w:rPr>
              <w:t>项号</w:t>
            </w:r>
          </w:p>
        </w:tc>
        <w:tc>
          <w:tcPr>
            <w:tcW w:w="1485" w:type="dxa"/>
            <w:vAlign w:val="center"/>
          </w:tcPr>
          <w:p>
            <w:pPr>
              <w:adjustRightInd w:val="0"/>
              <w:snapToGrid w:val="0"/>
              <w:spacing w:line="320" w:lineRule="exact"/>
              <w:rPr>
                <w:rFonts w:ascii="宋体" w:hAnsi="宋体" w:cs="宋体"/>
                <w:b/>
                <w:color w:val="auto"/>
                <w:szCs w:val="21"/>
                <w:highlight w:val="none"/>
              </w:rPr>
            </w:pPr>
            <w:r>
              <w:rPr>
                <w:rFonts w:hint="eastAsia" w:ascii="宋体" w:hAnsi="宋体" w:cs="宋体"/>
                <w:b/>
                <w:color w:val="auto"/>
                <w:szCs w:val="21"/>
                <w:highlight w:val="none"/>
              </w:rPr>
              <w:t>服务名称</w:t>
            </w:r>
          </w:p>
        </w:tc>
        <w:tc>
          <w:tcPr>
            <w:tcW w:w="1019" w:type="dxa"/>
            <w:vAlign w:val="center"/>
          </w:tcPr>
          <w:p>
            <w:pPr>
              <w:adjustRightInd w:val="0"/>
              <w:snapToGrid w:val="0"/>
              <w:spacing w:line="320" w:lineRule="exact"/>
              <w:rPr>
                <w:rFonts w:ascii="宋体" w:hAnsi="宋体" w:cs="宋体"/>
                <w:b/>
                <w:color w:val="auto"/>
                <w:szCs w:val="21"/>
                <w:highlight w:val="none"/>
              </w:rPr>
            </w:pPr>
            <w:r>
              <w:rPr>
                <w:rFonts w:hint="eastAsia" w:ascii="宋体" w:hAnsi="宋体" w:cs="宋体"/>
                <w:b/>
                <w:color w:val="auto"/>
                <w:szCs w:val="21"/>
                <w:highlight w:val="none"/>
              </w:rPr>
              <w:t>数量</w:t>
            </w:r>
          </w:p>
        </w:tc>
        <w:tc>
          <w:tcPr>
            <w:tcW w:w="6176" w:type="dxa"/>
            <w:vAlign w:val="center"/>
          </w:tcPr>
          <w:p>
            <w:pPr>
              <w:adjustRightInd w:val="0"/>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5" w:type="dxa"/>
            <w:vAlign w:val="center"/>
          </w:tcPr>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w:t>
            </w:r>
          </w:p>
        </w:tc>
        <w:tc>
          <w:tcPr>
            <w:tcW w:w="1485" w:type="dxa"/>
            <w:vAlign w:val="center"/>
          </w:tcPr>
          <w:p>
            <w:pPr>
              <w:adjustRightInd w:val="0"/>
              <w:snapToGrid w:val="0"/>
              <w:spacing w:line="320" w:lineRule="exact"/>
              <w:ind w:left="-67" w:leftChars="-32"/>
              <w:rPr>
                <w:rFonts w:ascii="宋体" w:hAnsi="宋体" w:cs="宋体"/>
                <w:color w:val="auto"/>
                <w:szCs w:val="21"/>
                <w:highlight w:val="none"/>
              </w:rPr>
            </w:pPr>
            <w:r>
              <w:rPr>
                <w:rFonts w:hint="eastAsia" w:ascii="宋体" w:hAnsi="宋体" w:cs="宋体"/>
                <w:b/>
                <w:color w:val="auto"/>
                <w:szCs w:val="21"/>
                <w:highlight w:val="none"/>
              </w:rPr>
              <w:t>地毯除异味、室内空气净化工程</w:t>
            </w:r>
          </w:p>
        </w:tc>
        <w:tc>
          <w:tcPr>
            <w:tcW w:w="1019" w:type="dxa"/>
            <w:vAlign w:val="center"/>
          </w:tcPr>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6500 平米</w:t>
            </w:r>
          </w:p>
        </w:tc>
        <w:tc>
          <w:tcPr>
            <w:tcW w:w="6176" w:type="dxa"/>
          </w:tcPr>
          <w:p>
            <w:pPr>
              <w:pStyle w:val="142"/>
              <w:adjustRightInd w:val="0"/>
              <w:snapToGrid w:val="0"/>
              <w:spacing w:line="320" w:lineRule="exact"/>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一、服务时间及服务响应时间要求：</w:t>
            </w:r>
          </w:p>
          <w:p>
            <w:pPr>
              <w:adjustRightInd w:val="0"/>
              <w:snapToGrid w:val="0"/>
              <w:spacing w:line="320" w:lineRule="exact"/>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1.服务时间：</w:t>
            </w:r>
            <w:r>
              <w:rPr>
                <w:rFonts w:hint="eastAsia" w:ascii="宋体" w:hAnsi="宋体" w:cs="宋体"/>
                <w:color w:val="auto"/>
                <w:szCs w:val="21"/>
                <w:highlight w:val="none"/>
              </w:rPr>
              <w:t>地毯除异味、室内空气净化服务分为两次实施，若合并为一次实施，总面积不变。一次为服务第十</w:t>
            </w:r>
            <w:r>
              <w:rPr>
                <w:rFonts w:hint="eastAsia" w:ascii="宋体" w:hAnsi="宋体" w:cs="宋体"/>
                <w:color w:val="auto"/>
                <w:kern w:val="0"/>
                <w:szCs w:val="21"/>
                <w:highlight w:val="none"/>
              </w:rPr>
              <w:t>七</w:t>
            </w:r>
            <w:r>
              <w:rPr>
                <w:rFonts w:hint="eastAsia" w:ascii="宋体" w:hAnsi="宋体" w:cs="宋体"/>
                <w:color w:val="auto"/>
                <w:szCs w:val="21"/>
                <w:highlight w:val="none"/>
              </w:rPr>
              <w:t>届中国—东盟博览会实施作业，实施区域范围面积总计5256平米,另一次根据采购人重要接待及展会活动的需要再实施作业，每次进场实施时间待采购人通知，并按采购人要求完成服务，结算金额以实际发生工作量结算</w:t>
            </w:r>
            <w:r>
              <w:rPr>
                <w:rFonts w:ascii="宋体" w:hAnsi="宋体" w:cs="宋体"/>
                <w:color w:val="auto"/>
                <w:kern w:val="0"/>
                <w:szCs w:val="21"/>
                <w:highlight w:val="none"/>
              </w:rPr>
              <w:t>（</w:t>
            </w:r>
            <w:r>
              <w:rPr>
                <w:rFonts w:hint="eastAsia" w:ascii="宋体" w:hAnsi="宋体" w:cs="宋体"/>
                <w:color w:val="auto"/>
                <w:szCs w:val="21"/>
                <w:highlight w:val="none"/>
              </w:rPr>
              <w:t>若因新冠病毒肺炎疫情致使</w:t>
            </w:r>
            <w:r>
              <w:rPr>
                <w:rFonts w:hint="eastAsia" w:ascii="宋体" w:hAnsi="宋体" w:cs="宋体"/>
                <w:color w:val="auto"/>
                <w:kern w:val="0"/>
                <w:szCs w:val="21"/>
                <w:highlight w:val="none"/>
              </w:rPr>
              <w:t>第十七届中国—东盟博览会</w:t>
            </w:r>
            <w:r>
              <w:rPr>
                <w:rFonts w:ascii="宋体" w:hAnsi="宋体" w:cs="宋体"/>
                <w:color w:val="auto"/>
                <w:kern w:val="0"/>
                <w:szCs w:val="21"/>
                <w:highlight w:val="none"/>
              </w:rPr>
              <w:t>会期延迟</w:t>
            </w:r>
            <w:r>
              <w:rPr>
                <w:rFonts w:hint="eastAsia" w:ascii="宋体" w:hAnsi="宋体" w:cs="宋体"/>
                <w:color w:val="auto"/>
                <w:kern w:val="0"/>
                <w:szCs w:val="21"/>
                <w:highlight w:val="none"/>
              </w:rPr>
              <w:t>，</w:t>
            </w:r>
            <w:r>
              <w:rPr>
                <w:rFonts w:hint="eastAsia" w:ascii="宋体" w:hAnsi="宋体" w:cs="宋体"/>
                <w:color w:val="auto"/>
                <w:szCs w:val="21"/>
                <w:highlight w:val="none"/>
              </w:rPr>
              <w:t>则</w:t>
            </w:r>
            <w:r>
              <w:rPr>
                <w:rFonts w:hint="eastAsia" w:ascii="宋体" w:hAnsi="宋体" w:cs="宋体"/>
                <w:color w:val="auto"/>
                <w:kern w:val="0"/>
                <w:szCs w:val="21"/>
                <w:highlight w:val="none"/>
              </w:rPr>
              <w:t>服务实施</w:t>
            </w:r>
            <w:r>
              <w:rPr>
                <w:rFonts w:ascii="宋体" w:hAnsi="宋体" w:cs="宋体"/>
                <w:color w:val="auto"/>
                <w:kern w:val="0"/>
                <w:szCs w:val="21"/>
                <w:highlight w:val="none"/>
              </w:rPr>
              <w:t>时间相应延后</w:t>
            </w:r>
            <w:r>
              <w:rPr>
                <w:rFonts w:hint="eastAsia" w:ascii="宋体" w:hAnsi="宋体" w:cs="宋体"/>
                <w:color w:val="auto"/>
                <w:kern w:val="0"/>
                <w:szCs w:val="21"/>
                <w:highlight w:val="none"/>
              </w:rPr>
              <w:t>，服务</w:t>
            </w:r>
            <w:r>
              <w:rPr>
                <w:rFonts w:ascii="宋体" w:hAnsi="宋体" w:cs="宋体"/>
                <w:color w:val="auto"/>
                <w:kern w:val="0"/>
                <w:szCs w:val="21"/>
                <w:highlight w:val="none"/>
              </w:rPr>
              <w:t>实施</w:t>
            </w:r>
            <w:r>
              <w:rPr>
                <w:rFonts w:hint="eastAsia" w:ascii="宋体" w:hAnsi="宋体" w:cs="宋体"/>
                <w:color w:val="auto"/>
                <w:kern w:val="0"/>
                <w:szCs w:val="21"/>
                <w:highlight w:val="none"/>
              </w:rPr>
              <w:t>时间</w:t>
            </w:r>
            <w:r>
              <w:rPr>
                <w:rFonts w:ascii="宋体" w:hAnsi="宋体" w:cs="宋体"/>
                <w:color w:val="auto"/>
                <w:kern w:val="0"/>
                <w:szCs w:val="21"/>
                <w:highlight w:val="none"/>
              </w:rPr>
              <w:t>以采购人</w:t>
            </w:r>
            <w:r>
              <w:rPr>
                <w:rFonts w:hint="eastAsia" w:ascii="宋体" w:hAnsi="宋体" w:cs="宋体"/>
                <w:color w:val="auto"/>
                <w:kern w:val="0"/>
                <w:szCs w:val="21"/>
                <w:highlight w:val="none"/>
              </w:rPr>
              <w:t>通知</w:t>
            </w:r>
            <w:r>
              <w:rPr>
                <w:rFonts w:ascii="宋体" w:hAnsi="宋体" w:cs="宋体"/>
                <w:color w:val="auto"/>
                <w:kern w:val="0"/>
                <w:szCs w:val="21"/>
                <w:highlight w:val="none"/>
              </w:rPr>
              <w:t>为准，双方均不构成违约</w:t>
            </w:r>
            <w:r>
              <w:rPr>
                <w:rFonts w:hint="eastAsia" w:ascii="宋体" w:hAnsi="宋体" w:cs="宋体"/>
                <w:color w:val="auto"/>
                <w:kern w:val="0"/>
                <w:szCs w:val="21"/>
                <w:highlight w:val="none"/>
              </w:rPr>
              <w:t>。</w:t>
            </w:r>
            <w:r>
              <w:rPr>
                <w:rFonts w:ascii="宋体" w:hAnsi="宋体" w:cs="宋体"/>
                <w:color w:val="auto"/>
                <w:kern w:val="0"/>
                <w:szCs w:val="21"/>
                <w:highlight w:val="none"/>
              </w:rPr>
              <w:t>）</w:t>
            </w:r>
          </w:p>
          <w:p>
            <w:pPr>
              <w:pStyle w:val="142"/>
              <w:adjustRightInd w:val="0"/>
              <w:snapToGrid w:val="0"/>
              <w:spacing w:line="320" w:lineRule="exact"/>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服务响应时间：服务商进场作业后，如接到采购人临时工作通知，</w:t>
            </w:r>
            <w:r>
              <w:rPr>
                <w:rFonts w:hint="eastAsia" w:ascii="宋体" w:hAnsi="宋体" w:cs="宋体"/>
                <w:color w:val="auto"/>
                <w:szCs w:val="21"/>
                <w:highlight w:val="none"/>
                <w:u w:val="single"/>
              </w:rPr>
              <w:t>2</w:t>
            </w:r>
            <w:r>
              <w:rPr>
                <w:rFonts w:hint="eastAsia" w:ascii="宋体" w:hAnsi="宋体" w:cs="宋体"/>
                <w:color w:val="auto"/>
                <w:szCs w:val="21"/>
                <w:highlight w:val="none"/>
              </w:rPr>
              <w:t>小时内到达采购人指定现场。</w:t>
            </w:r>
          </w:p>
          <w:p>
            <w:pPr>
              <w:adjustRightInd w:val="0"/>
              <w:snapToGrid w:val="0"/>
              <w:spacing w:line="320" w:lineRule="exact"/>
              <w:ind w:left="-67" w:leftChars="-32"/>
              <w:rPr>
                <w:rFonts w:ascii="宋体" w:hAnsi="宋体" w:cs="宋体"/>
                <w:color w:val="auto"/>
                <w:szCs w:val="21"/>
                <w:highlight w:val="none"/>
              </w:rPr>
            </w:pPr>
            <w:r>
              <w:rPr>
                <w:rFonts w:hint="eastAsia" w:ascii="宋体" w:hAnsi="宋体" w:cs="宋体"/>
                <w:color w:val="auto"/>
                <w:szCs w:val="21"/>
                <w:highlight w:val="none"/>
              </w:rPr>
              <w:t>★二、地毯除异味、室内空气净化工程实施范围。</w:t>
            </w:r>
          </w:p>
          <w:p>
            <w:pPr>
              <w:adjustRightInd w:val="0"/>
              <w:snapToGrid w:val="0"/>
              <w:spacing w:line="320" w:lineRule="exact"/>
              <w:ind w:left="-67" w:leftChars="-32"/>
              <w:rPr>
                <w:rFonts w:ascii="宋体" w:hAnsi="宋体" w:cs="宋体"/>
                <w:bCs/>
                <w:color w:val="auto"/>
                <w:szCs w:val="21"/>
                <w:highlight w:val="none"/>
              </w:rPr>
            </w:pPr>
            <w:r>
              <w:rPr>
                <w:rFonts w:hint="eastAsia" w:ascii="宋体" w:hAnsi="宋体" w:cs="宋体"/>
                <w:color w:val="auto"/>
                <w:szCs w:val="21"/>
                <w:highlight w:val="none"/>
              </w:rPr>
              <w:t>1.服务第十</w:t>
            </w:r>
            <w:r>
              <w:rPr>
                <w:rFonts w:hint="eastAsia" w:ascii="宋体" w:hAnsi="宋体" w:cs="宋体"/>
                <w:color w:val="auto"/>
                <w:kern w:val="0"/>
                <w:szCs w:val="21"/>
                <w:highlight w:val="none"/>
              </w:rPr>
              <w:t>七</w:t>
            </w:r>
            <w:r>
              <w:rPr>
                <w:rFonts w:hint="eastAsia" w:ascii="宋体" w:hAnsi="宋体" w:cs="宋体"/>
                <w:color w:val="auto"/>
                <w:szCs w:val="21"/>
                <w:highlight w:val="none"/>
              </w:rPr>
              <w:t>届中国—东盟博览会实施范围：</w:t>
            </w:r>
          </w:p>
          <w:p>
            <w:pPr>
              <w:pStyle w:val="142"/>
              <w:adjustRightInd w:val="0"/>
              <w:snapToGrid w:val="0"/>
              <w:spacing w:line="320" w:lineRule="exact"/>
              <w:ind w:left="105" w:hanging="105" w:hangingChars="50"/>
              <w:rPr>
                <w:rFonts w:ascii="宋体" w:hAnsi="宋体" w:cs="宋体"/>
                <w:color w:val="auto"/>
                <w:kern w:val="0"/>
                <w:szCs w:val="21"/>
                <w:highlight w:val="none"/>
              </w:rPr>
            </w:pPr>
            <w:r>
              <w:rPr>
                <w:rFonts w:hint="eastAsia" w:ascii="宋体" w:hAnsi="宋体" w:cs="宋体"/>
                <w:color w:val="auto"/>
                <w:kern w:val="0"/>
                <w:szCs w:val="21"/>
                <w:highlight w:val="none"/>
              </w:rPr>
              <w:t>（1）B区会议中心B101、B102、B103、B105会议室。</w:t>
            </w:r>
          </w:p>
          <w:p>
            <w:pPr>
              <w:pStyle w:val="142"/>
              <w:adjustRightInd w:val="0"/>
              <w:snapToGrid w:val="0"/>
              <w:spacing w:line="320" w:lineRule="exact"/>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（2）B区新闻中心。</w:t>
            </w:r>
          </w:p>
          <w:p>
            <w:pPr>
              <w:pStyle w:val="142"/>
              <w:adjustRightInd w:val="0"/>
              <w:snapToGrid w:val="0"/>
              <w:spacing w:line="320" w:lineRule="exact"/>
              <w:ind w:left="105" w:hanging="105" w:hangingChars="50"/>
              <w:rPr>
                <w:rFonts w:ascii="宋体" w:hAnsi="宋体" w:cs="宋体"/>
                <w:color w:val="auto"/>
                <w:kern w:val="0"/>
                <w:szCs w:val="21"/>
                <w:highlight w:val="none"/>
              </w:rPr>
            </w:pPr>
            <w:r>
              <w:rPr>
                <w:rFonts w:hint="eastAsia" w:ascii="宋体" w:hAnsi="宋体" w:cs="宋体"/>
                <w:color w:val="auto"/>
                <w:kern w:val="0"/>
                <w:szCs w:val="21"/>
                <w:highlight w:val="none"/>
              </w:rPr>
              <w:t>（3）B区牡丹花厅、茉莉花厅、紫薇大厅。</w:t>
            </w:r>
          </w:p>
          <w:p>
            <w:pPr>
              <w:pStyle w:val="142"/>
              <w:adjustRightInd w:val="0"/>
              <w:snapToGrid w:val="0"/>
              <w:spacing w:line="320" w:lineRule="exact"/>
              <w:ind w:left="105" w:hanging="105" w:hangingChars="50"/>
              <w:rPr>
                <w:rFonts w:ascii="宋体" w:hAnsi="宋体" w:cs="宋体"/>
                <w:color w:val="auto"/>
                <w:kern w:val="0"/>
                <w:szCs w:val="21"/>
                <w:highlight w:val="none"/>
              </w:rPr>
            </w:pPr>
            <w:r>
              <w:rPr>
                <w:rFonts w:hint="eastAsia" w:ascii="宋体" w:hAnsi="宋体" w:cs="宋体"/>
                <w:color w:val="auto"/>
                <w:kern w:val="0"/>
                <w:szCs w:val="21"/>
                <w:highlight w:val="none"/>
              </w:rPr>
              <w:t>（4）B区B2M层01、02、03、05贵宾休息室。</w:t>
            </w:r>
          </w:p>
          <w:p>
            <w:pPr>
              <w:pStyle w:val="142"/>
              <w:adjustRightInd w:val="0"/>
              <w:snapToGrid w:val="0"/>
              <w:spacing w:line="320" w:lineRule="exact"/>
              <w:ind w:left="105" w:hanging="105" w:hangingChars="50"/>
              <w:rPr>
                <w:rFonts w:ascii="宋体" w:hAnsi="宋体" w:cs="宋体"/>
                <w:color w:val="auto"/>
                <w:kern w:val="0"/>
                <w:szCs w:val="21"/>
                <w:highlight w:val="none"/>
              </w:rPr>
            </w:pPr>
            <w:r>
              <w:rPr>
                <w:rFonts w:hint="eastAsia" w:ascii="宋体" w:hAnsi="宋体" w:cs="宋体"/>
                <w:color w:val="auto"/>
                <w:kern w:val="0"/>
                <w:szCs w:val="21"/>
                <w:highlight w:val="none"/>
              </w:rPr>
              <w:t>（5）D区会议中心101、102、103、105、106、107、108、109、110、111、112、113、115、116会议室。</w:t>
            </w:r>
          </w:p>
          <w:p>
            <w:pPr>
              <w:pStyle w:val="142"/>
              <w:adjustRightInd w:val="0"/>
              <w:snapToGrid w:val="0"/>
              <w:spacing w:line="320" w:lineRule="exact"/>
              <w:ind w:left="105" w:hanging="105" w:hangingChars="50"/>
              <w:rPr>
                <w:rFonts w:ascii="宋体" w:hAnsi="宋体" w:cs="宋体"/>
                <w:color w:val="auto"/>
                <w:kern w:val="0"/>
                <w:szCs w:val="21"/>
                <w:highlight w:val="none"/>
              </w:rPr>
            </w:pPr>
            <w:r>
              <w:rPr>
                <w:rFonts w:hint="eastAsia" w:ascii="宋体" w:hAnsi="宋体" w:cs="宋体"/>
                <w:color w:val="auto"/>
                <w:kern w:val="0"/>
                <w:szCs w:val="21"/>
                <w:highlight w:val="none"/>
              </w:rPr>
              <w:t>（6）D区朱槿花厅贵宾休息室。</w:t>
            </w:r>
          </w:p>
          <w:p>
            <w:pPr>
              <w:pStyle w:val="142"/>
              <w:adjustRightInd w:val="0"/>
              <w:snapToGrid w:val="0"/>
              <w:spacing w:line="320" w:lineRule="exact"/>
              <w:ind w:left="105" w:hanging="105" w:hangingChars="50"/>
              <w:rPr>
                <w:rFonts w:ascii="宋体" w:hAnsi="宋体" w:cs="宋体"/>
                <w:color w:val="auto"/>
                <w:szCs w:val="21"/>
                <w:highlight w:val="none"/>
              </w:rPr>
            </w:pPr>
            <w:r>
              <w:rPr>
                <w:rFonts w:hint="eastAsia" w:ascii="宋体" w:hAnsi="宋体" w:cs="宋体"/>
                <w:color w:val="auto"/>
                <w:szCs w:val="21"/>
                <w:highlight w:val="none"/>
              </w:rPr>
              <w:t>（7）以上实施区域范围面积总计5256平米，如需调整实施范围区域，待采购人通知，实施范围面积总体不变。</w:t>
            </w:r>
          </w:p>
          <w:p>
            <w:pPr>
              <w:pStyle w:val="142"/>
              <w:adjustRightInd w:val="0"/>
              <w:snapToGrid w:val="0"/>
              <w:spacing w:line="320" w:lineRule="exact"/>
              <w:ind w:left="105" w:hanging="105" w:firstLineChars="0"/>
              <w:rPr>
                <w:rFonts w:ascii="宋体" w:hAnsi="宋体" w:cs="宋体"/>
                <w:color w:val="auto"/>
                <w:szCs w:val="21"/>
                <w:highlight w:val="none"/>
              </w:rPr>
            </w:pPr>
            <w:r>
              <w:rPr>
                <w:rFonts w:hint="eastAsia" w:ascii="宋体" w:hAnsi="宋体" w:cs="宋体"/>
                <w:color w:val="auto"/>
                <w:szCs w:val="21"/>
                <w:highlight w:val="none"/>
              </w:rPr>
              <w:t>★三、地毯除异味、室内空气净化作业内容：</w:t>
            </w:r>
          </w:p>
          <w:p>
            <w:pPr>
              <w:pStyle w:val="142"/>
              <w:numPr>
                <w:ilvl w:val="255"/>
                <w:numId w:val="0"/>
              </w:numPr>
              <w:adjustRightInd w:val="0"/>
              <w:snapToGrid w:val="0"/>
              <w:spacing w:line="320" w:lineRule="exact"/>
              <w:ind w:left="-105" w:leftChars="-50"/>
              <w:rPr>
                <w:rFonts w:ascii="宋体" w:hAnsi="宋体" w:cs="宋体"/>
                <w:color w:val="auto"/>
                <w:szCs w:val="21"/>
                <w:highlight w:val="none"/>
              </w:rPr>
            </w:pPr>
            <w:r>
              <w:rPr>
                <w:rFonts w:hint="eastAsia" w:ascii="宋体" w:hAnsi="宋体" w:cs="宋体"/>
                <w:color w:val="auto"/>
                <w:szCs w:val="21"/>
                <w:highlight w:val="none"/>
              </w:rPr>
              <w:t xml:space="preserve"> 1.对所有地毯每个区域无死角进行除异味工作，有效降低地毯中的游离甲醛、总挥发性有机物、病原微生物等有害物质的浓度，消除地毯中的异味，使地毯清新宜人，并且有效减缓有害物质的挥发速度。</w:t>
            </w:r>
          </w:p>
          <w:p>
            <w:pPr>
              <w:pStyle w:val="142"/>
              <w:numPr>
                <w:ilvl w:val="255"/>
                <w:numId w:val="0"/>
              </w:numPr>
              <w:adjustRightInd w:val="0"/>
              <w:snapToGrid w:val="0"/>
              <w:spacing w:line="320" w:lineRule="exact"/>
              <w:ind w:left="-105" w:leftChars="-50"/>
              <w:rPr>
                <w:rFonts w:ascii="宋体" w:hAnsi="宋体" w:cs="宋体"/>
                <w:color w:val="auto"/>
                <w:szCs w:val="21"/>
                <w:highlight w:val="none"/>
              </w:rPr>
            </w:pPr>
            <w:r>
              <w:rPr>
                <w:rFonts w:hint="eastAsia" w:ascii="宋体" w:hAnsi="宋体" w:cs="宋体"/>
                <w:color w:val="auto"/>
                <w:szCs w:val="21"/>
                <w:highlight w:val="none"/>
              </w:rPr>
              <w:t xml:space="preserve"> 2.对建筑墙体有害物质进行消除治理工作，有效降低挥发出来的甲醛、苯、甲苯、二甲苯、总挥发性有机物等的浓度，并且有效减缓有害物质的挥发速度。</w:t>
            </w:r>
          </w:p>
          <w:p>
            <w:pPr>
              <w:pStyle w:val="142"/>
              <w:numPr>
                <w:ilvl w:val="255"/>
                <w:numId w:val="0"/>
              </w:numPr>
              <w:adjustRightInd w:val="0"/>
              <w:snapToGrid w:val="0"/>
              <w:spacing w:line="320" w:lineRule="exact"/>
              <w:ind w:left="-105" w:leftChars="-50"/>
              <w:rPr>
                <w:rFonts w:ascii="宋体" w:hAnsi="宋体" w:cs="宋体"/>
                <w:color w:val="auto"/>
                <w:szCs w:val="21"/>
                <w:highlight w:val="none"/>
              </w:rPr>
            </w:pPr>
            <w:r>
              <w:rPr>
                <w:rFonts w:hint="eastAsia" w:ascii="宋体" w:hAnsi="宋体" w:cs="宋体"/>
                <w:color w:val="auto"/>
                <w:szCs w:val="21"/>
                <w:highlight w:val="none"/>
              </w:rPr>
              <w:t xml:space="preserve"> 3.对室内空气进行有效净化工作，使空气清新宜人。</w:t>
            </w:r>
          </w:p>
          <w:p>
            <w:pPr>
              <w:numPr>
                <w:ilvl w:val="255"/>
                <w:numId w:val="0"/>
              </w:num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4.使用地毯除异味、室内空气净化产品的要求：必须无毒无害、无放射性、无二次污染、无刺激性气味。</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★四、质量标准要求：</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1.本项目要求使用的光触媒产品必须有自主知识产权，获得国家知识产权局的发明专利证书，并且光触媒产品必须提供有资质的权威检验检疫部门或者分析检测机构出具的产品无毒无害检测报告。</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2.经过对室内地毯综合治理后，降低地毯中有害物质的浓度、消除地毯异味，</w:t>
            </w:r>
            <w:r>
              <w:rPr>
                <w:rFonts w:hint="eastAsia" w:ascii="宋体" w:hAnsi="宋体" w:cs="宋体"/>
                <w:color w:val="auto"/>
                <w:kern w:val="0"/>
                <w:szCs w:val="21"/>
                <w:highlight w:val="none"/>
              </w:rPr>
              <w:t>地毯中有害物质释放限量</w:t>
            </w:r>
            <w:r>
              <w:rPr>
                <w:rFonts w:hint="eastAsia" w:ascii="宋体" w:hAnsi="宋体" w:cs="宋体"/>
                <w:color w:val="auto"/>
                <w:szCs w:val="21"/>
                <w:highlight w:val="none"/>
              </w:rPr>
              <w:t>必须达到GB50325—2010《民用建筑工程室内环境污染控制规范》中项目3.6.7A级标准：</w:t>
            </w:r>
            <w:r>
              <w:rPr>
                <w:rFonts w:hint="eastAsia" w:ascii="宋体" w:hAnsi="宋体" w:cs="宋体"/>
                <w:color w:val="auto"/>
                <w:kern w:val="0"/>
                <w:szCs w:val="21"/>
                <w:highlight w:val="none"/>
              </w:rPr>
              <w:t>总挥发性有机化合物限量（mg/m</w:t>
            </w:r>
            <w:r>
              <w:rPr>
                <w:rFonts w:hint="eastAsia" w:ascii="宋体" w:hAnsi="宋体" w:cs="宋体"/>
                <w:color w:val="auto"/>
                <w:kern w:val="0"/>
                <w:szCs w:val="21"/>
                <w:highlight w:val="none"/>
                <w:vertAlign w:val="superscript"/>
              </w:rPr>
              <w:t>2</w:t>
            </w:r>
            <w:r>
              <w:rPr>
                <w:rFonts w:hint="eastAsia" w:ascii="宋体" w:hAnsi="宋体" w:cs="宋体"/>
                <w:color w:val="auto"/>
                <w:kern w:val="0"/>
                <w:szCs w:val="21"/>
                <w:highlight w:val="none"/>
              </w:rPr>
              <w:t>·h）≤0.500、游离甲醛限量（mg/m</w:t>
            </w:r>
            <w:r>
              <w:rPr>
                <w:rFonts w:hint="eastAsia" w:ascii="宋体" w:hAnsi="宋体" w:cs="宋体"/>
                <w:color w:val="auto"/>
                <w:kern w:val="0"/>
                <w:szCs w:val="21"/>
                <w:highlight w:val="none"/>
                <w:vertAlign w:val="superscript"/>
              </w:rPr>
              <w:t>2</w:t>
            </w:r>
            <w:r>
              <w:rPr>
                <w:rFonts w:hint="eastAsia" w:ascii="宋体" w:hAnsi="宋体" w:cs="宋体"/>
                <w:color w:val="auto"/>
                <w:kern w:val="0"/>
                <w:szCs w:val="21"/>
                <w:highlight w:val="none"/>
              </w:rPr>
              <w:t>·h）≤0.050。</w:t>
            </w:r>
            <w:r>
              <w:rPr>
                <w:rFonts w:hint="eastAsia" w:ascii="宋体" w:hAnsi="宋体" w:cs="宋体"/>
                <w:color w:val="auto"/>
                <w:szCs w:val="21"/>
                <w:highlight w:val="none"/>
              </w:rPr>
              <w:t>3、有效净化空气后，</w:t>
            </w:r>
            <w:r>
              <w:rPr>
                <w:rFonts w:hint="eastAsia" w:ascii="宋体" w:hAnsi="宋体" w:cs="宋体"/>
                <w:color w:val="auto"/>
                <w:kern w:val="0"/>
                <w:szCs w:val="21"/>
                <w:highlight w:val="none"/>
              </w:rPr>
              <w:t>室内空气无毒、无害、无异常嗅味</w:t>
            </w:r>
            <w:r>
              <w:rPr>
                <w:rFonts w:hint="eastAsia" w:ascii="宋体" w:hAnsi="宋体" w:cs="宋体"/>
                <w:color w:val="auto"/>
                <w:szCs w:val="21"/>
                <w:highlight w:val="none"/>
              </w:rPr>
              <w:t>。室内的环境污染物浓度限量必须达到国家GB/T 18883《室内空气质量标准》规定的:</w:t>
            </w:r>
          </w:p>
          <w:p>
            <w:pPr>
              <w:adjustRightInd w:val="0"/>
              <w:snapToGrid w:val="0"/>
              <w:spacing w:line="320" w:lineRule="exact"/>
              <w:ind w:left="360"/>
              <w:rPr>
                <w:rFonts w:ascii="宋体" w:hAnsi="宋体" w:cs="宋体"/>
                <w:color w:val="auto"/>
                <w:kern w:val="0"/>
                <w:szCs w:val="21"/>
                <w:highlight w:val="none"/>
              </w:rPr>
            </w:pPr>
            <w:r>
              <w:rPr>
                <w:rFonts w:hint="eastAsia" w:ascii="宋体" w:hAnsi="宋体" w:cs="宋体"/>
                <w:color w:val="auto"/>
                <w:kern w:val="0"/>
                <w:szCs w:val="21"/>
                <w:highlight w:val="none"/>
              </w:rPr>
              <w:t>甲醛≤0.10（</w:t>
            </w:r>
            <w:r>
              <w:rPr>
                <w:rFonts w:hint="eastAsia" w:ascii="宋体" w:hAnsi="宋体" w:cs="宋体"/>
                <w:color w:val="auto"/>
                <w:szCs w:val="21"/>
                <w:highlight w:val="none"/>
              </w:rPr>
              <w:t>mg/</w:t>
            </w:r>
            <w:r>
              <w:rPr>
                <w:rFonts w:hint="eastAsia" w:ascii="宋体" w:hAnsi="宋体" w:cs="宋体"/>
                <w:color w:val="auto"/>
                <w:kern w:val="0"/>
                <w:szCs w:val="21"/>
                <w:highlight w:val="none"/>
              </w:rPr>
              <w:t xml:space="preserve"> m</w:t>
            </w:r>
            <w:r>
              <w:rPr>
                <w:rFonts w:hint="eastAsia" w:ascii="宋体" w:hAnsi="宋体" w:cs="宋体"/>
                <w:color w:val="auto"/>
                <w:kern w:val="0"/>
                <w:szCs w:val="21"/>
                <w:highlight w:val="none"/>
                <w:vertAlign w:val="superscript"/>
              </w:rPr>
              <w:t>3</w:t>
            </w:r>
            <w:r>
              <w:rPr>
                <w:rFonts w:hint="eastAsia" w:ascii="宋体" w:hAnsi="宋体" w:cs="宋体"/>
                <w:color w:val="auto"/>
                <w:kern w:val="0"/>
                <w:szCs w:val="21"/>
                <w:highlight w:val="none"/>
              </w:rPr>
              <w:t>·h）</w:t>
            </w:r>
          </w:p>
          <w:p>
            <w:pPr>
              <w:adjustRightInd w:val="0"/>
              <w:snapToGrid w:val="0"/>
              <w:spacing w:line="320" w:lineRule="exact"/>
              <w:ind w:left="360"/>
              <w:rPr>
                <w:rFonts w:ascii="宋体" w:hAnsi="宋体" w:cs="宋体"/>
                <w:color w:val="auto"/>
                <w:kern w:val="0"/>
                <w:szCs w:val="21"/>
                <w:highlight w:val="none"/>
              </w:rPr>
            </w:pPr>
            <w:r>
              <w:rPr>
                <w:rFonts w:hint="eastAsia" w:ascii="宋体" w:hAnsi="宋体" w:cs="宋体"/>
                <w:color w:val="auto"/>
                <w:kern w:val="0"/>
                <w:szCs w:val="21"/>
                <w:highlight w:val="none"/>
              </w:rPr>
              <w:t>苯≤0.11（</w:t>
            </w:r>
            <w:r>
              <w:rPr>
                <w:rFonts w:hint="eastAsia" w:ascii="宋体" w:hAnsi="宋体" w:cs="宋体"/>
                <w:color w:val="auto"/>
                <w:szCs w:val="21"/>
                <w:highlight w:val="none"/>
              </w:rPr>
              <w:t>mg/</w:t>
            </w:r>
            <w:r>
              <w:rPr>
                <w:rFonts w:hint="eastAsia" w:ascii="宋体" w:hAnsi="宋体" w:cs="宋体"/>
                <w:color w:val="auto"/>
                <w:kern w:val="0"/>
                <w:szCs w:val="21"/>
                <w:highlight w:val="none"/>
              </w:rPr>
              <w:t xml:space="preserve"> m</w:t>
            </w:r>
            <w:r>
              <w:rPr>
                <w:rFonts w:hint="eastAsia" w:ascii="宋体" w:hAnsi="宋体" w:cs="宋体"/>
                <w:color w:val="auto"/>
                <w:kern w:val="0"/>
                <w:szCs w:val="21"/>
                <w:highlight w:val="none"/>
                <w:vertAlign w:val="superscript"/>
              </w:rPr>
              <w:t>3</w:t>
            </w:r>
            <w:r>
              <w:rPr>
                <w:rFonts w:hint="eastAsia" w:ascii="宋体" w:hAnsi="宋体" w:cs="宋体"/>
                <w:color w:val="auto"/>
                <w:kern w:val="0"/>
                <w:szCs w:val="21"/>
                <w:highlight w:val="none"/>
              </w:rPr>
              <w:t>·h）</w:t>
            </w:r>
          </w:p>
          <w:p>
            <w:pPr>
              <w:adjustRightInd w:val="0"/>
              <w:snapToGrid w:val="0"/>
              <w:spacing w:line="320" w:lineRule="exact"/>
              <w:ind w:left="360"/>
              <w:rPr>
                <w:rFonts w:ascii="宋体" w:hAnsi="宋体" w:cs="宋体"/>
                <w:color w:val="auto"/>
                <w:kern w:val="0"/>
                <w:szCs w:val="21"/>
                <w:highlight w:val="none"/>
              </w:rPr>
            </w:pPr>
            <w:r>
              <w:rPr>
                <w:rFonts w:hint="eastAsia" w:ascii="宋体" w:hAnsi="宋体" w:cs="宋体"/>
                <w:color w:val="auto"/>
                <w:kern w:val="0"/>
                <w:szCs w:val="21"/>
                <w:highlight w:val="none"/>
              </w:rPr>
              <w:t>甲苯≤0.20（</w:t>
            </w:r>
            <w:r>
              <w:rPr>
                <w:rFonts w:hint="eastAsia" w:ascii="宋体" w:hAnsi="宋体" w:cs="宋体"/>
                <w:color w:val="auto"/>
                <w:szCs w:val="21"/>
                <w:highlight w:val="none"/>
              </w:rPr>
              <w:t>mg/</w:t>
            </w:r>
            <w:r>
              <w:rPr>
                <w:rFonts w:hint="eastAsia" w:ascii="宋体" w:hAnsi="宋体" w:cs="宋体"/>
                <w:color w:val="auto"/>
                <w:kern w:val="0"/>
                <w:szCs w:val="21"/>
                <w:highlight w:val="none"/>
              </w:rPr>
              <w:t xml:space="preserve"> m</w:t>
            </w:r>
            <w:r>
              <w:rPr>
                <w:rFonts w:hint="eastAsia" w:ascii="宋体" w:hAnsi="宋体" w:cs="宋体"/>
                <w:color w:val="auto"/>
                <w:kern w:val="0"/>
                <w:szCs w:val="21"/>
                <w:highlight w:val="none"/>
                <w:vertAlign w:val="superscript"/>
              </w:rPr>
              <w:t>3</w:t>
            </w:r>
            <w:r>
              <w:rPr>
                <w:rFonts w:hint="eastAsia" w:ascii="宋体" w:hAnsi="宋体" w:cs="宋体"/>
                <w:color w:val="auto"/>
                <w:kern w:val="0"/>
                <w:szCs w:val="21"/>
                <w:highlight w:val="none"/>
              </w:rPr>
              <w:t>·h）</w:t>
            </w:r>
          </w:p>
          <w:p>
            <w:pPr>
              <w:adjustRightInd w:val="0"/>
              <w:snapToGrid w:val="0"/>
              <w:spacing w:line="320" w:lineRule="exact"/>
              <w:ind w:left="360"/>
              <w:rPr>
                <w:rFonts w:ascii="宋体" w:hAnsi="宋体" w:cs="宋体"/>
                <w:color w:val="auto"/>
                <w:kern w:val="0"/>
                <w:szCs w:val="21"/>
                <w:highlight w:val="none"/>
              </w:rPr>
            </w:pPr>
            <w:r>
              <w:rPr>
                <w:rFonts w:hint="eastAsia" w:ascii="宋体" w:hAnsi="宋体" w:cs="宋体"/>
                <w:color w:val="auto"/>
                <w:kern w:val="0"/>
                <w:szCs w:val="21"/>
                <w:highlight w:val="none"/>
              </w:rPr>
              <w:t>二甲苯≤0.20（</w:t>
            </w:r>
            <w:r>
              <w:rPr>
                <w:rFonts w:hint="eastAsia" w:ascii="宋体" w:hAnsi="宋体" w:cs="宋体"/>
                <w:color w:val="auto"/>
                <w:szCs w:val="21"/>
                <w:highlight w:val="none"/>
              </w:rPr>
              <w:t>mg/</w:t>
            </w:r>
            <w:r>
              <w:rPr>
                <w:rFonts w:hint="eastAsia" w:ascii="宋体" w:hAnsi="宋体" w:cs="宋体"/>
                <w:color w:val="auto"/>
                <w:kern w:val="0"/>
                <w:szCs w:val="21"/>
                <w:highlight w:val="none"/>
              </w:rPr>
              <w:t xml:space="preserve"> m</w:t>
            </w:r>
            <w:r>
              <w:rPr>
                <w:rFonts w:hint="eastAsia" w:ascii="宋体" w:hAnsi="宋体" w:cs="宋体"/>
                <w:color w:val="auto"/>
                <w:kern w:val="0"/>
                <w:szCs w:val="21"/>
                <w:highlight w:val="none"/>
                <w:vertAlign w:val="superscript"/>
              </w:rPr>
              <w:t>3</w:t>
            </w:r>
            <w:r>
              <w:rPr>
                <w:rFonts w:hint="eastAsia" w:ascii="宋体" w:hAnsi="宋体" w:cs="宋体"/>
                <w:color w:val="auto"/>
                <w:kern w:val="0"/>
                <w:szCs w:val="21"/>
                <w:highlight w:val="none"/>
              </w:rPr>
              <w:t>·h）</w:t>
            </w:r>
          </w:p>
          <w:p>
            <w:pPr>
              <w:adjustRightInd w:val="0"/>
              <w:snapToGrid w:val="0"/>
              <w:spacing w:line="320" w:lineRule="exact"/>
              <w:ind w:left="360"/>
              <w:rPr>
                <w:rFonts w:hint="eastAsia" w:ascii="宋体" w:hAnsi="宋体" w:cs="宋体"/>
                <w:color w:val="auto"/>
                <w:kern w:val="0"/>
                <w:szCs w:val="21"/>
                <w:highlight w:val="none"/>
              </w:rPr>
            </w:pPr>
            <w:r>
              <w:rPr>
                <w:rFonts w:hint="eastAsia" w:ascii="宋体" w:hAnsi="宋体" w:cs="宋体"/>
                <w:color w:val="auto"/>
                <w:kern w:val="0"/>
                <w:szCs w:val="21"/>
                <w:highlight w:val="none"/>
              </w:rPr>
              <w:t>TVOC≤0.5(mg/m3）</w:t>
            </w:r>
          </w:p>
          <w:p>
            <w:pPr>
              <w:adjustRightInd w:val="0"/>
              <w:snapToGrid w:val="0"/>
              <w:spacing w:line="320" w:lineRule="exact"/>
              <w:ind w:left="36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氨</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0.20</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mg/</w:t>
            </w:r>
            <w:r>
              <w:rPr>
                <w:rFonts w:hint="eastAsia" w:ascii="宋体" w:hAnsi="宋体" w:cs="宋体"/>
                <w:color w:val="auto"/>
                <w:kern w:val="0"/>
                <w:szCs w:val="21"/>
                <w:highlight w:val="none"/>
              </w:rPr>
              <w:t xml:space="preserve"> m</w:t>
            </w:r>
            <w:r>
              <w:rPr>
                <w:rFonts w:hint="eastAsia" w:ascii="宋体" w:hAnsi="宋体" w:cs="宋体"/>
                <w:color w:val="auto"/>
                <w:kern w:val="0"/>
                <w:szCs w:val="21"/>
                <w:highlight w:val="none"/>
                <w:vertAlign w:val="superscript"/>
              </w:rPr>
              <w:t>3</w:t>
            </w:r>
            <w:r>
              <w:rPr>
                <w:rFonts w:hint="eastAsia" w:ascii="宋体" w:hAnsi="宋体" w:cs="宋体"/>
                <w:color w:val="auto"/>
                <w:kern w:val="0"/>
                <w:szCs w:val="21"/>
                <w:highlight w:val="none"/>
              </w:rPr>
              <w:t>·h</w:t>
            </w:r>
            <w:r>
              <w:rPr>
                <w:rFonts w:hint="eastAsia" w:ascii="宋体" w:hAnsi="宋体" w:cs="宋体"/>
                <w:color w:val="auto"/>
                <w:kern w:val="0"/>
                <w:szCs w:val="21"/>
                <w:highlight w:val="none"/>
                <w:lang w:eastAsia="zh-CN"/>
              </w:rPr>
              <w:t>）</w:t>
            </w:r>
          </w:p>
          <w:p>
            <w:pPr>
              <w:adjustRightInd w:val="0"/>
              <w:snapToGri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五、室内空气检测范围：服务第十七届中国—东盟博览会地毯除异味、室内空气净化工程结束后，由</w:t>
            </w:r>
            <w:r>
              <w:rPr>
                <w:rFonts w:hint="eastAsia" w:ascii="宋体" w:hAnsi="宋体" w:cs="宋体"/>
                <w:color w:val="auto"/>
                <w:kern w:val="0"/>
                <w:szCs w:val="21"/>
                <w:lang w:eastAsia="zh-CN"/>
              </w:rPr>
              <w:t>具有国家</w:t>
            </w:r>
            <w:r>
              <w:rPr>
                <w:rFonts w:hint="eastAsia" w:ascii="宋体" w:hAnsi="宋体" w:cs="宋体"/>
                <w:color w:val="auto"/>
                <w:kern w:val="0"/>
                <w:szCs w:val="21"/>
                <w:lang w:val="en-US" w:eastAsia="zh-CN"/>
              </w:rPr>
              <w:t>CMA</w:t>
            </w:r>
            <w:r>
              <w:rPr>
                <w:rFonts w:hint="eastAsia" w:ascii="宋体" w:hAnsi="宋体" w:cs="宋体"/>
                <w:color w:val="auto"/>
                <w:kern w:val="0"/>
                <w:szCs w:val="21"/>
              </w:rPr>
              <w:t>检测</w:t>
            </w:r>
            <w:r>
              <w:rPr>
                <w:rFonts w:hint="eastAsia" w:ascii="宋体" w:hAnsi="宋体" w:cs="宋体"/>
                <w:color w:val="auto"/>
                <w:kern w:val="0"/>
                <w:szCs w:val="21"/>
                <w:lang w:eastAsia="zh-CN"/>
              </w:rPr>
              <w:t>资质的单位</w:t>
            </w:r>
            <w:r>
              <w:rPr>
                <w:rFonts w:hint="eastAsia" w:ascii="宋体" w:hAnsi="宋体" w:cs="宋体"/>
                <w:color w:val="auto"/>
                <w:kern w:val="0"/>
                <w:szCs w:val="21"/>
                <w:highlight w:val="none"/>
              </w:rPr>
              <w:t>对B区会议中心B101、B02、B103、B105会议室其中一间（280 m</w:t>
            </w:r>
            <w:r>
              <w:rPr>
                <w:rFonts w:hint="eastAsia" w:ascii="宋体" w:hAnsi="宋体" w:cs="宋体"/>
                <w:color w:val="auto"/>
                <w:kern w:val="0"/>
                <w:szCs w:val="21"/>
                <w:highlight w:val="none"/>
                <w:vertAlign w:val="superscript"/>
              </w:rPr>
              <w:t>2</w:t>
            </w:r>
            <w:r>
              <w:rPr>
                <w:rFonts w:hint="eastAsia" w:ascii="宋体" w:hAnsi="宋体" w:cs="宋体"/>
                <w:color w:val="auto"/>
                <w:kern w:val="0"/>
                <w:szCs w:val="21"/>
                <w:highlight w:val="none"/>
              </w:rPr>
              <w:t>）、B区新闻中心（600 m</w:t>
            </w:r>
            <w:r>
              <w:rPr>
                <w:rFonts w:hint="eastAsia" w:ascii="宋体" w:hAnsi="宋体" w:cs="宋体"/>
                <w:color w:val="auto"/>
                <w:kern w:val="0"/>
                <w:szCs w:val="21"/>
                <w:highlight w:val="none"/>
                <w:vertAlign w:val="superscript"/>
              </w:rPr>
              <w:t>2</w:t>
            </w:r>
            <w:r>
              <w:rPr>
                <w:rFonts w:hint="eastAsia" w:ascii="宋体" w:hAnsi="宋体" w:cs="宋体"/>
                <w:color w:val="auto"/>
                <w:kern w:val="0"/>
                <w:szCs w:val="21"/>
                <w:highlight w:val="none"/>
              </w:rPr>
              <w:t>）、B区牡丹花厅、茉莉花厅、紫薇花厅其中一间（250 m</w:t>
            </w:r>
            <w:r>
              <w:rPr>
                <w:rFonts w:hint="eastAsia" w:ascii="宋体" w:hAnsi="宋体" w:cs="宋体"/>
                <w:color w:val="auto"/>
                <w:kern w:val="0"/>
                <w:szCs w:val="21"/>
                <w:highlight w:val="none"/>
                <w:vertAlign w:val="superscript"/>
              </w:rPr>
              <w:t>2</w:t>
            </w:r>
            <w:r>
              <w:rPr>
                <w:rFonts w:hint="eastAsia" w:ascii="宋体" w:hAnsi="宋体" w:cs="宋体"/>
                <w:color w:val="auto"/>
                <w:kern w:val="0"/>
                <w:szCs w:val="21"/>
                <w:highlight w:val="none"/>
              </w:rPr>
              <w:t>）、B区B2M01、02、03、05贵宾休息室其中一间（200 m</w:t>
            </w:r>
            <w:r>
              <w:rPr>
                <w:rFonts w:hint="eastAsia" w:ascii="宋体" w:hAnsi="宋体" w:cs="宋体"/>
                <w:color w:val="auto"/>
                <w:kern w:val="0"/>
                <w:szCs w:val="21"/>
                <w:highlight w:val="none"/>
                <w:vertAlign w:val="superscript"/>
              </w:rPr>
              <w:t>2</w:t>
            </w:r>
            <w:r>
              <w:rPr>
                <w:rFonts w:hint="eastAsia" w:ascii="宋体" w:hAnsi="宋体" w:cs="宋体"/>
                <w:color w:val="auto"/>
                <w:kern w:val="0"/>
                <w:szCs w:val="21"/>
                <w:highlight w:val="none"/>
              </w:rPr>
              <w:t>）、D区会议中心101会议室（590 m</w:t>
            </w:r>
            <w:r>
              <w:rPr>
                <w:rFonts w:hint="eastAsia" w:ascii="宋体" w:hAnsi="宋体" w:cs="宋体"/>
                <w:color w:val="auto"/>
                <w:kern w:val="0"/>
                <w:szCs w:val="21"/>
                <w:highlight w:val="none"/>
                <w:vertAlign w:val="superscript"/>
              </w:rPr>
              <w:t>2</w:t>
            </w:r>
            <w:r>
              <w:rPr>
                <w:rFonts w:hint="eastAsia" w:ascii="宋体" w:hAnsi="宋体" w:cs="宋体"/>
                <w:color w:val="auto"/>
                <w:kern w:val="0"/>
                <w:szCs w:val="21"/>
                <w:highlight w:val="none"/>
              </w:rPr>
              <w:t>）、</w:t>
            </w:r>
            <w:r>
              <w:rPr>
                <w:rFonts w:hint="eastAsia" w:ascii="宋体" w:hAnsi="宋体" w:cs="宋体"/>
                <w:color w:val="auto"/>
                <w:kern w:val="0"/>
                <w:szCs w:val="21"/>
                <w:lang w:val="en-US" w:eastAsia="zh-CN"/>
              </w:rPr>
              <w:t>D区会议中心105会议室</w:t>
            </w:r>
            <w:r>
              <w:rPr>
                <w:rFonts w:hint="eastAsia" w:ascii="宋体" w:hAnsi="宋体" w:cs="宋体"/>
                <w:color w:val="auto"/>
                <w:kern w:val="0"/>
                <w:szCs w:val="21"/>
              </w:rPr>
              <w:t>（200 m</w:t>
            </w:r>
            <w:r>
              <w:rPr>
                <w:rFonts w:hint="eastAsia" w:ascii="宋体" w:hAnsi="宋体" w:cs="宋体"/>
                <w:color w:val="auto"/>
                <w:kern w:val="0"/>
                <w:szCs w:val="21"/>
                <w:vertAlign w:val="superscript"/>
              </w:rPr>
              <w:t>2</w:t>
            </w:r>
            <w:r>
              <w:rPr>
                <w:rFonts w:hint="eastAsia" w:ascii="宋体" w:hAnsi="宋体" w:cs="宋体"/>
                <w:color w:val="auto"/>
                <w:kern w:val="0"/>
                <w:szCs w:val="21"/>
              </w:rPr>
              <w:t>）</w:t>
            </w:r>
            <w:r>
              <w:rPr>
                <w:rFonts w:hint="eastAsia" w:ascii="宋体" w:hAnsi="宋体" w:cs="宋体"/>
                <w:color w:val="auto"/>
                <w:kern w:val="0"/>
                <w:szCs w:val="21"/>
                <w:lang w:val="en-US" w:eastAsia="zh-CN"/>
              </w:rPr>
              <w:t>、D区会议中心106会议室</w:t>
            </w:r>
            <w:r>
              <w:rPr>
                <w:rFonts w:hint="eastAsia" w:ascii="宋体" w:hAnsi="宋体" w:cs="宋体"/>
                <w:color w:val="auto"/>
                <w:kern w:val="0"/>
                <w:szCs w:val="21"/>
              </w:rPr>
              <w:t>（2</w:t>
            </w:r>
            <w:r>
              <w:rPr>
                <w:rFonts w:hint="eastAsia" w:ascii="宋体" w:hAnsi="宋体" w:cs="宋体"/>
                <w:color w:val="auto"/>
                <w:kern w:val="0"/>
                <w:szCs w:val="21"/>
                <w:lang w:val="en-US" w:eastAsia="zh-CN"/>
              </w:rPr>
              <w:t>50</w:t>
            </w:r>
            <w:r>
              <w:rPr>
                <w:rFonts w:hint="eastAsia" w:ascii="宋体" w:hAnsi="宋体" w:cs="宋体"/>
                <w:color w:val="auto"/>
                <w:kern w:val="0"/>
                <w:szCs w:val="21"/>
              </w:rPr>
              <w:t xml:space="preserve"> m</w:t>
            </w:r>
            <w:r>
              <w:rPr>
                <w:rFonts w:hint="eastAsia" w:ascii="宋体" w:hAnsi="宋体" w:cs="宋体"/>
                <w:color w:val="auto"/>
                <w:kern w:val="0"/>
                <w:szCs w:val="21"/>
                <w:vertAlign w:val="superscript"/>
              </w:rPr>
              <w:t>2</w:t>
            </w:r>
            <w:r>
              <w:rPr>
                <w:rFonts w:hint="eastAsia" w:ascii="宋体" w:hAnsi="宋体" w:cs="宋体"/>
                <w:color w:val="auto"/>
                <w:kern w:val="0"/>
                <w:szCs w:val="21"/>
              </w:rPr>
              <w:t>）</w:t>
            </w:r>
            <w:r>
              <w:rPr>
                <w:rFonts w:hint="eastAsia" w:ascii="宋体" w:hAnsi="宋体" w:cs="宋体"/>
                <w:color w:val="auto"/>
                <w:kern w:val="0"/>
                <w:szCs w:val="21"/>
                <w:lang w:eastAsia="zh-CN"/>
              </w:rPr>
              <w:t>、</w:t>
            </w:r>
            <w:r>
              <w:rPr>
                <w:rFonts w:hint="eastAsia" w:ascii="宋体" w:hAnsi="宋体" w:cs="宋体"/>
                <w:color w:val="auto"/>
                <w:kern w:val="0"/>
                <w:szCs w:val="21"/>
                <w:highlight w:val="none"/>
              </w:rPr>
              <w:t>D区朱槿花厅贵宾休息室（150 m</w:t>
            </w:r>
            <w:r>
              <w:rPr>
                <w:rFonts w:hint="eastAsia" w:ascii="宋体" w:hAnsi="宋体" w:cs="宋体"/>
                <w:color w:val="auto"/>
                <w:kern w:val="0"/>
                <w:szCs w:val="21"/>
                <w:highlight w:val="none"/>
                <w:vertAlign w:val="superscript"/>
              </w:rPr>
              <w:t>2</w:t>
            </w:r>
            <w:r>
              <w:rPr>
                <w:rFonts w:hint="eastAsia" w:ascii="宋体" w:hAnsi="宋体" w:cs="宋体"/>
                <w:color w:val="auto"/>
                <w:kern w:val="0"/>
                <w:szCs w:val="21"/>
                <w:highlight w:val="none"/>
              </w:rPr>
              <w:t>）进行空气质量检测，出具符合国家空气质量标准的检测报告，并于第十七届中国—东盟博览会开幕式举办前将2份检测报告原件提交给采购人。此项费用由成交人负担，包含在合同总价中（如检测不合格由成交人负责整改，直至检测达到国家室内空气质量标准，整改费用由成交人负担）。</w:t>
            </w:r>
          </w:p>
          <w:p>
            <w:pPr>
              <w:adjustRightInd w:val="0"/>
              <w:snapToGrid w:val="0"/>
              <w:spacing w:line="320" w:lineRule="exact"/>
              <w:ind w:left="59"/>
              <w:rPr>
                <w:rFonts w:ascii="宋体" w:hAnsi="宋体" w:cs="宋体"/>
                <w:color w:val="auto"/>
                <w:kern w:val="0"/>
                <w:szCs w:val="21"/>
                <w:highlight w:val="none"/>
              </w:rPr>
            </w:pPr>
            <w:r>
              <w:rPr>
                <w:rFonts w:hint="eastAsia" w:ascii="宋体" w:hAnsi="宋体" w:cs="宋体"/>
                <w:color w:val="auto"/>
                <w:kern w:val="0"/>
                <w:szCs w:val="21"/>
                <w:highlight w:val="none"/>
              </w:rPr>
              <w:t>六、空气检测选点要求：</w:t>
            </w:r>
          </w:p>
          <w:p>
            <w:pPr>
              <w:adjustRightInd w:val="0"/>
              <w:snapToGri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1.采样点的数量：采样点的数量根据检测室内面积大小和现场情况而确定，以期能正确反映室内空气污染物的水平。原则上小于50平米的房间应设1-3个点，50-100平米设3-5个点，100平米以上至少设5个点。在对角线上或梅花式均匀分布。</w:t>
            </w:r>
          </w:p>
          <w:p>
            <w:pPr>
              <w:adjustRightInd w:val="0"/>
              <w:snapToGri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2.采样点应避开通风口，离墙壁距离应大于0.5m。</w:t>
            </w:r>
          </w:p>
          <w:p>
            <w:pPr>
              <w:adjustRightInd w:val="0"/>
              <w:snapToGri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3.采样点的高度：原则上与人的呼吸带高度相一致，相对高度0.5m-1.5m之间。</w:t>
            </w:r>
          </w:p>
          <w:p>
            <w:pPr>
              <w:adjustRightInd w:val="0"/>
              <w:snapToGrid w:val="0"/>
              <w:spacing w:line="320" w:lineRule="exact"/>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七、验收：</w:t>
            </w:r>
          </w:p>
          <w:p>
            <w:pPr>
              <w:adjustRightInd w:val="0"/>
              <w:snapToGri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1.验收时间：服务第十七届中国—东盟博览会实施的作业的验收时间为空气检测抽样日期，另一次实施的作业验收时间于施工完成后进行验收。</w:t>
            </w:r>
          </w:p>
          <w:p>
            <w:pPr>
              <w:adjustRightInd w:val="0"/>
              <w:snapToGri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2.服务第十七届中国—东盟博览会实施的作业，采购人与成交人、</w:t>
            </w:r>
            <w:r>
              <w:rPr>
                <w:rFonts w:hint="eastAsia" w:ascii="宋体" w:hAnsi="宋体" w:cs="宋体"/>
                <w:color w:val="auto"/>
                <w:kern w:val="0"/>
                <w:szCs w:val="21"/>
                <w:lang w:eastAsia="zh-CN"/>
              </w:rPr>
              <w:t>具有国家</w:t>
            </w:r>
            <w:r>
              <w:rPr>
                <w:rFonts w:hint="eastAsia" w:ascii="宋体" w:hAnsi="宋体" w:cs="宋体"/>
                <w:color w:val="auto"/>
                <w:kern w:val="0"/>
                <w:szCs w:val="21"/>
                <w:lang w:val="en-US" w:eastAsia="zh-CN"/>
              </w:rPr>
              <w:t>CMA</w:t>
            </w:r>
            <w:r>
              <w:rPr>
                <w:rFonts w:hint="eastAsia" w:ascii="宋体" w:hAnsi="宋体" w:cs="宋体"/>
                <w:color w:val="auto"/>
                <w:kern w:val="0"/>
                <w:szCs w:val="21"/>
              </w:rPr>
              <w:t>检测</w:t>
            </w:r>
            <w:r>
              <w:rPr>
                <w:rFonts w:hint="eastAsia" w:ascii="宋体" w:hAnsi="宋体" w:cs="宋体"/>
                <w:color w:val="auto"/>
                <w:kern w:val="0"/>
                <w:szCs w:val="21"/>
                <w:lang w:eastAsia="zh-CN"/>
              </w:rPr>
              <w:t>资质的单位</w:t>
            </w:r>
            <w:r>
              <w:rPr>
                <w:rFonts w:hint="eastAsia" w:ascii="宋体" w:hAnsi="宋体" w:cs="宋体"/>
                <w:color w:val="auto"/>
                <w:kern w:val="0"/>
                <w:szCs w:val="21"/>
                <w:highlight w:val="none"/>
              </w:rPr>
              <w:t>进行现场空气检测抽样并封存样本。</w:t>
            </w:r>
          </w:p>
          <w:p>
            <w:pPr>
              <w:adjustRightInd w:val="0"/>
              <w:snapToGri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3.服务第十七届中国—东盟博览会实施的作业，空气质量检测报告每项数据应达到质量标准要求。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5" w:type="dxa"/>
            <w:vAlign w:val="center"/>
          </w:tcPr>
          <w:p>
            <w:pPr>
              <w:adjustRightInd w:val="0"/>
              <w:snapToGrid w:val="0"/>
              <w:spacing w:line="320" w:lineRule="exact"/>
              <w:rPr>
                <w:rFonts w:ascii="宋体" w:hAnsi="宋体" w:cs="宋体"/>
                <w:color w:val="auto"/>
                <w:szCs w:val="21"/>
                <w:highlight w:val="none"/>
                <w:vertAlign w:val="subscript"/>
              </w:rPr>
            </w:pPr>
            <w:r>
              <w:rPr>
                <w:rFonts w:hint="eastAsia" w:ascii="宋体" w:hAnsi="宋体" w:cs="宋体"/>
                <w:b/>
                <w:color w:val="auto"/>
                <w:szCs w:val="21"/>
                <w:highlight w:val="none"/>
              </w:rPr>
              <w:t>商务条款</w:t>
            </w:r>
          </w:p>
        </w:tc>
        <w:tc>
          <w:tcPr>
            <w:tcW w:w="8680" w:type="dxa"/>
            <w:gridSpan w:val="3"/>
          </w:tcPr>
          <w:p>
            <w:pPr>
              <w:tabs>
                <w:tab w:val="left" w:pos="420"/>
              </w:tabs>
              <w:adjustRightInd w:val="0"/>
              <w:snapToGrid w:val="0"/>
              <w:spacing w:line="320" w:lineRule="exact"/>
              <w:rPr>
                <w:rFonts w:ascii="宋体" w:hAnsi="宋体" w:cs="宋体"/>
                <w:color w:val="auto"/>
                <w:szCs w:val="21"/>
                <w:highlight w:val="none"/>
              </w:rPr>
            </w:pPr>
            <w:r>
              <w:rPr>
                <w:rFonts w:hint="eastAsia" w:ascii="宋体" w:hAnsi="宋体" w:cs="宋体"/>
                <w:b/>
                <w:color w:val="auto"/>
                <w:szCs w:val="21"/>
                <w:highlight w:val="none"/>
              </w:rPr>
              <w:t>一、合同签订期：</w:t>
            </w:r>
            <w:r>
              <w:rPr>
                <w:rFonts w:hint="eastAsia" w:ascii="宋体" w:hAnsi="宋体" w:cs="宋体"/>
                <w:color w:val="auto"/>
                <w:szCs w:val="21"/>
                <w:highlight w:val="none"/>
                <w:u w:val="single"/>
              </w:rPr>
              <w:t xml:space="preserve">   自成交通知书下发之日起5个工作日内。</w:t>
            </w:r>
          </w:p>
          <w:p>
            <w:pPr>
              <w:shd w:val="clear" w:color="auto" w:fill="FFFFFF"/>
              <w:adjustRightInd w:val="0"/>
              <w:snapToGrid w:val="0"/>
              <w:spacing w:line="320" w:lineRule="exact"/>
              <w:rPr>
                <w:rFonts w:ascii="宋体" w:hAnsi="宋体" w:cs="宋体"/>
                <w:b/>
                <w:color w:val="auto"/>
                <w:szCs w:val="21"/>
                <w:highlight w:val="none"/>
              </w:rPr>
            </w:pPr>
            <w:r>
              <w:rPr>
                <w:rFonts w:hint="eastAsia" w:ascii="宋体" w:hAnsi="宋体" w:cs="宋体"/>
                <w:b/>
                <w:color w:val="auto"/>
                <w:szCs w:val="21"/>
                <w:highlight w:val="none"/>
              </w:rPr>
              <w:t>二、提交服务成果时间：</w:t>
            </w:r>
          </w:p>
          <w:p>
            <w:pPr>
              <w:adjustRightInd w:val="0"/>
              <w:snapToGri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1.服务时间间为2020年7月1日-2021年6月30日。</w:t>
            </w:r>
          </w:p>
          <w:p>
            <w:pPr>
              <w:tabs>
                <w:tab w:val="left" w:pos="420"/>
              </w:tabs>
              <w:adjustRightInd w:val="0"/>
              <w:snapToGrid w:val="0"/>
              <w:spacing w:line="320" w:lineRule="exact"/>
              <w:rPr>
                <w:rFonts w:ascii="宋体" w:hAnsi="宋体" w:cs="宋体"/>
                <w:color w:val="auto"/>
                <w:kern w:val="0"/>
                <w:szCs w:val="21"/>
                <w:highlight w:val="none"/>
              </w:rPr>
            </w:pPr>
            <w:r>
              <w:rPr>
                <w:rFonts w:hint="eastAsia" w:ascii="宋体" w:hAnsi="宋体" w:cs="宋体"/>
                <w:color w:val="auto"/>
                <w:szCs w:val="21"/>
                <w:highlight w:val="none"/>
              </w:rPr>
              <w:t>2.第一次</w:t>
            </w:r>
            <w:r>
              <w:rPr>
                <w:rFonts w:hint="eastAsia" w:ascii="宋体" w:hAnsi="宋体" w:cs="宋体"/>
                <w:color w:val="auto"/>
                <w:kern w:val="0"/>
                <w:szCs w:val="21"/>
                <w:highlight w:val="none"/>
              </w:rPr>
              <w:t>服务于第十七届中国—东盟博览会实施的作业必须于开幕式举办前完成。</w:t>
            </w:r>
          </w:p>
          <w:p>
            <w:pPr>
              <w:tabs>
                <w:tab w:val="left" w:pos="420"/>
              </w:tabs>
              <w:adjustRightInd w:val="0"/>
              <w:snapToGrid w:val="0"/>
              <w:spacing w:line="320" w:lineRule="exact"/>
              <w:rPr>
                <w:rFonts w:ascii="宋体" w:hAnsi="宋体" w:cs="宋体"/>
                <w:b/>
                <w:color w:val="auto"/>
                <w:szCs w:val="21"/>
                <w:highlight w:val="none"/>
              </w:rPr>
            </w:pPr>
            <w:r>
              <w:rPr>
                <w:rFonts w:hint="eastAsia" w:ascii="宋体" w:hAnsi="宋体" w:cs="宋体"/>
                <w:color w:val="auto"/>
                <w:kern w:val="0"/>
                <w:szCs w:val="21"/>
                <w:highlight w:val="none"/>
              </w:rPr>
              <w:t>3.另一次实施作业时间待采购人通知，成交人按采购人的要求完成服务。</w:t>
            </w:r>
          </w:p>
          <w:p>
            <w:pPr>
              <w:adjustRightInd w:val="0"/>
              <w:snapToGrid w:val="0"/>
              <w:spacing w:line="320" w:lineRule="exact"/>
              <w:rPr>
                <w:rFonts w:ascii="宋体" w:hAnsi="宋体" w:cs="宋体"/>
                <w:b/>
                <w:color w:val="auto"/>
                <w:szCs w:val="21"/>
                <w:highlight w:val="none"/>
              </w:rPr>
            </w:pPr>
            <w:r>
              <w:rPr>
                <w:rFonts w:hint="eastAsia" w:ascii="宋体" w:hAnsi="宋体" w:cs="宋体"/>
                <w:b/>
                <w:color w:val="auto"/>
                <w:szCs w:val="21"/>
                <w:highlight w:val="none"/>
              </w:rPr>
              <w:t>三、提交服务成果地点：</w:t>
            </w:r>
            <w:r>
              <w:rPr>
                <w:rFonts w:hint="eastAsia" w:ascii="宋体" w:hAnsi="宋体" w:cs="宋体"/>
                <w:color w:val="auto"/>
                <w:szCs w:val="21"/>
                <w:highlight w:val="none"/>
                <w:u w:val="single"/>
              </w:rPr>
              <w:t xml:space="preserve">  南宁国际会展中心    </w:t>
            </w:r>
          </w:p>
          <w:p>
            <w:pPr>
              <w:adjustRightInd w:val="0"/>
              <w:snapToGrid w:val="0"/>
              <w:spacing w:line="320" w:lineRule="exact"/>
              <w:rPr>
                <w:rFonts w:ascii="宋体" w:hAnsi="宋体" w:cs="宋体"/>
                <w:b/>
                <w:color w:val="auto"/>
                <w:szCs w:val="21"/>
                <w:highlight w:val="none"/>
              </w:rPr>
            </w:pPr>
            <w:r>
              <w:rPr>
                <w:rFonts w:hint="eastAsia" w:ascii="宋体" w:hAnsi="宋体" w:cs="宋体"/>
                <w:b/>
                <w:color w:val="auto"/>
                <w:szCs w:val="21"/>
                <w:highlight w:val="none"/>
              </w:rPr>
              <w:t>四、售后服务要求：</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★1.质量保证期：</w:t>
            </w:r>
            <w:r>
              <w:rPr>
                <w:rFonts w:hint="eastAsia" w:ascii="宋体" w:hAnsi="宋体" w:cs="宋体"/>
                <w:color w:val="auto"/>
                <w:kern w:val="0"/>
                <w:szCs w:val="21"/>
                <w:highlight w:val="none"/>
              </w:rPr>
              <w:t>服务第十七届中国—东盟博览会实施的作业</w:t>
            </w:r>
            <w:r>
              <w:rPr>
                <w:rFonts w:hint="eastAsia" w:ascii="宋体" w:hAnsi="宋体" w:cs="宋体"/>
                <w:color w:val="auto"/>
                <w:szCs w:val="21"/>
                <w:highlight w:val="none"/>
              </w:rPr>
              <w:t>自全面实施作业起至第十七届中国—东盟博览会结束后一个月，另一次实施的作业自全面实施作业起至采购人重要接待展会活动结束。</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2.处理问题响应时间：接到采购人处理问题通知后</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小时内到达采购人指定现场。</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服务第十七届中国—东盟博览会实施的作业，</w:t>
            </w:r>
            <w:r>
              <w:rPr>
                <w:rFonts w:hint="eastAsia" w:ascii="宋体" w:hAnsi="宋体" w:cs="宋体"/>
                <w:color w:val="auto"/>
                <w:szCs w:val="21"/>
                <w:highlight w:val="none"/>
              </w:rPr>
              <w:t>服务商接采购人通知后于2个工作日内进行工作安排对接，并于工作安排对接后3个工作日内提交工作方案给采购人审核，工作方案包含：工作实施计划、实施进度表、使用产品清单及产品详细的作用说明、空气检测抽样日期、空气检测报告提交时间。</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4.服从采购人的工作安排及管理，积极配合采购人开展工作，根据采购人要求提供合格的服务。</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5.如有需要，积极配合采购人办理</w:t>
            </w:r>
            <w:r>
              <w:rPr>
                <w:rFonts w:hint="eastAsia" w:ascii="宋体" w:hAnsi="宋体" w:cs="宋体"/>
                <w:color w:val="auto"/>
                <w:kern w:val="0"/>
                <w:szCs w:val="21"/>
                <w:highlight w:val="none"/>
              </w:rPr>
              <w:t>服务第十七届中国—东盟博览会</w:t>
            </w:r>
            <w:r>
              <w:rPr>
                <w:rFonts w:hint="eastAsia" w:ascii="宋体" w:hAnsi="宋体" w:cs="宋体"/>
                <w:color w:val="auto"/>
                <w:szCs w:val="21"/>
                <w:highlight w:val="none"/>
              </w:rPr>
              <w:t>进场作业证件。</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★6.在</w:t>
            </w:r>
            <w:r>
              <w:rPr>
                <w:rFonts w:hint="eastAsia" w:ascii="宋体" w:hAnsi="宋体" w:cs="宋体"/>
                <w:color w:val="auto"/>
                <w:kern w:val="0"/>
                <w:szCs w:val="21"/>
                <w:highlight w:val="none"/>
              </w:rPr>
              <w:t>服务第十七届中国—东盟博览会</w:t>
            </w:r>
            <w:r>
              <w:rPr>
                <w:rFonts w:hint="eastAsia" w:ascii="宋体" w:hAnsi="宋体" w:cs="宋体"/>
                <w:color w:val="auto"/>
                <w:szCs w:val="21"/>
                <w:highlight w:val="none"/>
              </w:rPr>
              <w:t>现场作业时，禁止拍摄照片。</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7.施工作业时，统一工作服。</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8.施工作业期间不得损坏采购人的物品，如有损坏，须按价赔偿采购人损失。</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9.禁止在施工作业现场吸烟、进行明火作业。</w:t>
            </w:r>
          </w:p>
          <w:p>
            <w:pPr>
              <w:adjustRightInd w:val="0"/>
              <w:snapToGrid w:val="0"/>
              <w:spacing w:line="320" w:lineRule="exact"/>
              <w:rPr>
                <w:rFonts w:ascii="宋体" w:hAnsi="宋体" w:cs="宋体"/>
                <w:b/>
                <w:color w:val="auto"/>
                <w:szCs w:val="21"/>
                <w:highlight w:val="none"/>
              </w:rPr>
            </w:pPr>
            <w:r>
              <w:rPr>
                <w:rFonts w:hint="eastAsia" w:ascii="宋体" w:hAnsi="宋体" w:cs="宋体"/>
                <w:b/>
                <w:color w:val="auto"/>
                <w:szCs w:val="21"/>
                <w:highlight w:val="none"/>
              </w:rPr>
              <w:t>五、其他要求：</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1.报价包含以下部分：</w:t>
            </w:r>
          </w:p>
          <w:p>
            <w:pPr>
              <w:numPr>
                <w:ilvl w:val="0"/>
                <w:numId w:val="10"/>
              </w:num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服务的价格；</w:t>
            </w:r>
          </w:p>
          <w:p>
            <w:pPr>
              <w:numPr>
                <w:ilvl w:val="0"/>
                <w:numId w:val="10"/>
              </w:num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必要的保险费用和各项税金；</w:t>
            </w:r>
          </w:p>
          <w:p>
            <w:pPr>
              <w:numPr>
                <w:ilvl w:val="0"/>
                <w:numId w:val="10"/>
              </w:num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人工加班费、交通费、餐费、第十</w:t>
            </w:r>
            <w:r>
              <w:rPr>
                <w:rFonts w:hint="eastAsia" w:ascii="宋体" w:hAnsi="宋体" w:cs="宋体"/>
                <w:color w:val="auto"/>
                <w:kern w:val="0"/>
                <w:szCs w:val="21"/>
                <w:highlight w:val="none"/>
              </w:rPr>
              <w:t>七</w:t>
            </w:r>
            <w:r>
              <w:rPr>
                <w:rFonts w:hint="eastAsia" w:ascii="宋体" w:hAnsi="宋体" w:cs="宋体"/>
                <w:color w:val="auto"/>
                <w:szCs w:val="21"/>
                <w:highlight w:val="none"/>
              </w:rPr>
              <w:t>届中国—东盟博览会办证费用及其保险费用。</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2.付款方式：本项目无预付款，服务商所提交的服务经采购人验收合格并提供合格发票，采购人分为两次支付，第一次支付为第十</w:t>
            </w:r>
            <w:r>
              <w:rPr>
                <w:rFonts w:hint="eastAsia" w:ascii="宋体" w:hAnsi="宋体" w:cs="宋体"/>
                <w:color w:val="auto"/>
                <w:kern w:val="0"/>
                <w:szCs w:val="21"/>
                <w:highlight w:val="none"/>
              </w:rPr>
              <w:t>七</w:t>
            </w:r>
            <w:r>
              <w:rPr>
                <w:rFonts w:hint="eastAsia" w:ascii="宋体" w:hAnsi="宋体" w:cs="宋体"/>
                <w:color w:val="auto"/>
                <w:szCs w:val="21"/>
                <w:highlight w:val="none"/>
              </w:rPr>
              <w:t>届中国—东盟博览会结束一个月后，支付金额为合同总价的60%，第二次支付为合同履约期满验收合格后付清余款。</w:t>
            </w:r>
          </w:p>
          <w:p>
            <w:pPr>
              <w:tabs>
                <w:tab w:val="left" w:pos="360"/>
              </w:tabs>
              <w:adjustRightInd w:val="0"/>
              <w:snapToGrid w:val="0"/>
              <w:spacing w:line="320" w:lineRule="exact"/>
              <w:rPr>
                <w:rFonts w:ascii="宋体" w:hAnsi="宋体" w:cs="宋体"/>
                <w:b/>
                <w:color w:val="auto"/>
                <w:szCs w:val="21"/>
                <w:highlight w:val="none"/>
              </w:rPr>
            </w:pPr>
            <w:r>
              <w:rPr>
                <w:rFonts w:hint="eastAsia" w:ascii="宋体" w:hAnsi="宋体" w:cs="宋体"/>
                <w:b/>
                <w:color w:val="auto"/>
                <w:szCs w:val="21"/>
                <w:highlight w:val="none"/>
              </w:rPr>
              <w:t>六、对合同条款的调整</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★1.如不能按时完成本项目服务，采购人另行找其他单位完成的，所造成的损失由成交人负责，采购人有权终止合同且不构成违约。</w:t>
            </w:r>
          </w:p>
          <w:p>
            <w:pPr>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★2.若因新冠病毒肺炎疫情致使</w:t>
            </w:r>
            <w:r>
              <w:rPr>
                <w:rFonts w:hint="eastAsia" w:ascii="宋体" w:hAnsi="宋体" w:cs="宋体"/>
                <w:color w:val="auto"/>
                <w:kern w:val="0"/>
                <w:szCs w:val="21"/>
                <w:highlight w:val="none"/>
              </w:rPr>
              <w:t>第十七届中国—东盟博览会</w:t>
            </w:r>
            <w:r>
              <w:rPr>
                <w:rFonts w:ascii="宋体" w:hAnsi="宋体" w:cs="宋体"/>
                <w:color w:val="auto"/>
                <w:kern w:val="0"/>
                <w:szCs w:val="21"/>
                <w:highlight w:val="none"/>
              </w:rPr>
              <w:t>会期延迟</w:t>
            </w:r>
            <w:r>
              <w:rPr>
                <w:rFonts w:hint="eastAsia" w:ascii="宋体" w:hAnsi="宋体" w:cs="宋体"/>
                <w:color w:val="auto"/>
                <w:kern w:val="0"/>
                <w:szCs w:val="21"/>
                <w:highlight w:val="none"/>
              </w:rPr>
              <w:t>，</w:t>
            </w:r>
            <w:r>
              <w:rPr>
                <w:rFonts w:hint="eastAsia" w:ascii="宋体" w:hAnsi="宋体" w:cs="宋体"/>
                <w:color w:val="auto"/>
                <w:szCs w:val="21"/>
                <w:highlight w:val="none"/>
              </w:rPr>
              <w:t>则</w:t>
            </w:r>
            <w:r>
              <w:rPr>
                <w:rFonts w:hint="eastAsia" w:ascii="宋体" w:hAnsi="宋体" w:cs="宋体"/>
                <w:color w:val="auto"/>
                <w:kern w:val="0"/>
                <w:szCs w:val="21"/>
                <w:highlight w:val="none"/>
              </w:rPr>
              <w:t>服务实施</w:t>
            </w:r>
            <w:r>
              <w:rPr>
                <w:rFonts w:ascii="宋体" w:hAnsi="宋体" w:cs="宋体"/>
                <w:color w:val="auto"/>
                <w:kern w:val="0"/>
                <w:szCs w:val="21"/>
                <w:highlight w:val="none"/>
              </w:rPr>
              <w:t>时间相应延后</w:t>
            </w:r>
            <w:r>
              <w:rPr>
                <w:rFonts w:hint="eastAsia" w:ascii="宋体" w:hAnsi="宋体" w:cs="宋体"/>
                <w:color w:val="auto"/>
                <w:kern w:val="0"/>
                <w:szCs w:val="21"/>
                <w:highlight w:val="none"/>
              </w:rPr>
              <w:t>，服务</w:t>
            </w:r>
            <w:r>
              <w:rPr>
                <w:rFonts w:ascii="宋体" w:hAnsi="宋体" w:cs="宋体"/>
                <w:color w:val="auto"/>
                <w:kern w:val="0"/>
                <w:szCs w:val="21"/>
                <w:highlight w:val="none"/>
              </w:rPr>
              <w:t>实施</w:t>
            </w:r>
            <w:r>
              <w:rPr>
                <w:rFonts w:hint="eastAsia" w:ascii="宋体" w:hAnsi="宋体" w:cs="宋体"/>
                <w:color w:val="auto"/>
                <w:kern w:val="0"/>
                <w:szCs w:val="21"/>
                <w:highlight w:val="none"/>
              </w:rPr>
              <w:t>时间</w:t>
            </w:r>
            <w:r>
              <w:rPr>
                <w:rFonts w:ascii="宋体" w:hAnsi="宋体" w:cs="宋体"/>
                <w:color w:val="auto"/>
                <w:kern w:val="0"/>
                <w:szCs w:val="21"/>
                <w:highlight w:val="none"/>
              </w:rPr>
              <w:t>以采购人</w:t>
            </w:r>
            <w:r>
              <w:rPr>
                <w:rFonts w:hint="eastAsia" w:ascii="宋体" w:hAnsi="宋体" w:cs="宋体"/>
                <w:color w:val="auto"/>
                <w:kern w:val="0"/>
                <w:szCs w:val="21"/>
                <w:highlight w:val="none"/>
              </w:rPr>
              <w:t>通知</w:t>
            </w:r>
            <w:r>
              <w:rPr>
                <w:rFonts w:ascii="宋体" w:hAnsi="宋体" w:cs="宋体"/>
                <w:color w:val="auto"/>
                <w:kern w:val="0"/>
                <w:szCs w:val="21"/>
                <w:highlight w:val="none"/>
              </w:rPr>
              <w:t>为准，双方均不构成违约。</w:t>
            </w:r>
          </w:p>
          <w:p>
            <w:pPr>
              <w:adjustRightInd w:val="0"/>
              <w:snapToGrid w:val="0"/>
              <w:spacing w:line="32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3.施工作业时未统一工作服的，每次每人扣减100元作为违约金。</w:t>
            </w:r>
          </w:p>
          <w:p>
            <w:pPr>
              <w:adjustRightInd w:val="0"/>
              <w:snapToGrid w:val="0"/>
              <w:spacing w:line="32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4.超出服务响应时间的，每次扣减500元作为违约金。</w:t>
            </w:r>
          </w:p>
          <w:p>
            <w:pPr>
              <w:adjustRightInd w:val="0"/>
              <w:snapToGrid w:val="0"/>
              <w:spacing w:line="32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5.在施工作业现场吸烟、拍摄照片的，每次扣减500元作为违约金。</w:t>
            </w:r>
          </w:p>
          <w:p>
            <w:pPr>
              <w:tabs>
                <w:tab w:val="left" w:pos="360"/>
              </w:tabs>
              <w:adjustRightInd w:val="0"/>
              <w:snapToGrid w:val="0"/>
              <w:spacing w:line="32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6.未按采购人规定时间提交工作方案的，扣减1000作为违约金元。</w:t>
            </w:r>
          </w:p>
          <w:p>
            <w:pPr>
              <w:tabs>
                <w:tab w:val="left" w:pos="360"/>
              </w:tabs>
              <w:adjustRightInd w:val="0"/>
              <w:snapToGrid w:val="0"/>
              <w:spacing w:line="32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7.空气质量检测不合格的，不合格项目每项扣减2000作为违约金元。</w:t>
            </w:r>
          </w:p>
          <w:p>
            <w:pPr>
              <w:tabs>
                <w:tab w:val="left" w:pos="360"/>
              </w:tabs>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★8.未按采购人规定时间提交空气质量检测报告的，采购人有权单方面取消合同，不支付合同费用。</w:t>
            </w:r>
          </w:p>
        </w:tc>
      </w:tr>
    </w:tbl>
    <w:p>
      <w:pPr>
        <w:widowControl/>
        <w:jc w:val="left"/>
        <w:rPr>
          <w:color w:val="auto"/>
          <w:highlight w:val="none"/>
        </w:rPr>
      </w:pPr>
    </w:p>
    <w:p>
      <w:pPr>
        <w:pStyle w:val="3"/>
        <w:jc w:val="center"/>
        <w:rPr>
          <w:rFonts w:hAnsi="宋体"/>
          <w:color w:val="auto"/>
          <w:highlight w:val="none"/>
        </w:rPr>
      </w:pPr>
      <w:bookmarkStart w:id="5" w:name="_Toc393040187"/>
      <w:r>
        <w:rPr>
          <w:rFonts w:hint="eastAsia"/>
          <w:color w:val="auto"/>
          <w:highlight w:val="none"/>
        </w:rPr>
        <w:t>第四章评</w:t>
      </w:r>
      <w:bookmarkEnd w:id="5"/>
      <w:r>
        <w:rPr>
          <w:rFonts w:hint="eastAsia"/>
          <w:color w:val="auto"/>
          <w:highlight w:val="none"/>
        </w:rPr>
        <w:t>审方法</w:t>
      </w:r>
    </w:p>
    <w:p>
      <w:pPr>
        <w:jc w:val="center"/>
        <w:rPr>
          <w:b/>
          <w:color w:val="auto"/>
          <w:sz w:val="30"/>
          <w:szCs w:val="30"/>
          <w:highlight w:val="none"/>
        </w:rPr>
      </w:pPr>
      <w:r>
        <w:rPr>
          <w:rFonts w:hint="eastAsia"/>
          <w:b/>
          <w:color w:val="auto"/>
          <w:sz w:val="30"/>
          <w:szCs w:val="30"/>
          <w:highlight w:val="none"/>
        </w:rPr>
        <w:t>最低评标价法</w:t>
      </w:r>
    </w:p>
    <w:p>
      <w:pPr>
        <w:tabs>
          <w:tab w:val="left" w:pos="1935"/>
        </w:tabs>
        <w:spacing w:line="400" w:lineRule="exact"/>
        <w:ind w:firstLine="420" w:firstLineChars="200"/>
        <w:rPr>
          <w:rFonts w:ascii="宋体" w:hAnsi="Courier New"/>
          <w:color w:val="auto"/>
          <w:szCs w:val="20"/>
          <w:highlight w:val="none"/>
        </w:rPr>
      </w:pPr>
    </w:p>
    <w:p>
      <w:pPr>
        <w:tabs>
          <w:tab w:val="left" w:pos="1935"/>
        </w:tabs>
        <w:spacing w:line="400" w:lineRule="exact"/>
        <w:ind w:firstLine="420" w:firstLineChars="200"/>
        <w:rPr>
          <w:rFonts w:hAnsi="宋体"/>
          <w:b/>
          <w:color w:val="auto"/>
          <w:sz w:val="32"/>
          <w:szCs w:val="32"/>
          <w:highlight w:val="none"/>
        </w:rPr>
      </w:pPr>
      <w:r>
        <w:rPr>
          <w:rFonts w:ascii="宋体" w:hAnsi="Courier New"/>
          <w:color w:val="auto"/>
          <w:szCs w:val="20"/>
          <w:highlight w:val="none"/>
        </w:rPr>
        <w:t>谈判小组以竞争性谈判采购文件为依据，对竞标文件进行评审，在全部满足竞争性谈判采购文件实质性要求和条件的前提下，按评标价由低到高排列成交候选供应商顺序（评标价相同时，依次按技术指标高优先、质量保证期长优先、</w:t>
      </w:r>
      <w:r>
        <w:rPr>
          <w:rFonts w:hint="eastAsia" w:ascii="宋体" w:hAnsi="Courier New"/>
          <w:color w:val="auto"/>
          <w:szCs w:val="20"/>
          <w:highlight w:val="none"/>
        </w:rPr>
        <w:t>处理问题响应</w:t>
      </w:r>
      <w:r>
        <w:rPr>
          <w:rFonts w:ascii="宋体" w:hAnsi="Courier New"/>
          <w:color w:val="auto"/>
          <w:szCs w:val="20"/>
          <w:highlight w:val="none"/>
        </w:rPr>
        <w:t>时间短优先的顺序排列；评标价相同且前述指标均相同时，由谈判小组各成员对评标价相同的供应商当场投票表决，得票多者优先；按前述程序仍无法确定供应商排名顺序的，由评审委员会抽签决定），并依照次序确定成交供应商。</w:t>
      </w:r>
      <w:r>
        <w:rPr>
          <w:rFonts w:hint="eastAsia" w:ascii="宋体" w:hAnsi="Courier New"/>
          <w:color w:val="auto"/>
          <w:szCs w:val="20"/>
          <w:highlight w:val="none"/>
        </w:rPr>
        <w:t>排名第一的成交候选人放弃成交、因不可抗力提出不能履行合同的，招标采购单位可以确定排名第二的成交候选人为成交人。排名第二的成交候选人因前款规定的同样原因不能签订合同的，招标采购单位可以确定排名第三的成交候选人为成交人。</w:t>
      </w:r>
    </w:p>
    <w:p>
      <w:pPr>
        <w:spacing w:beforeLines="50" w:afterLines="50" w:line="360" w:lineRule="exact"/>
        <w:ind w:firstLine="420" w:firstLineChars="200"/>
        <w:rPr>
          <w:rFonts w:ascii="宋体" w:hAnsi="宋体" w:cs="Courier New"/>
          <w:bCs/>
          <w:color w:val="auto"/>
          <w:szCs w:val="21"/>
          <w:highlight w:val="none"/>
        </w:rPr>
      </w:pPr>
      <w:r>
        <w:rPr>
          <w:rFonts w:ascii="宋体" w:hAnsi="宋体"/>
          <w:color w:val="auto"/>
          <w:szCs w:val="21"/>
          <w:highlight w:val="none"/>
        </w:rPr>
        <w:br w:type="page"/>
      </w:r>
    </w:p>
    <w:p>
      <w:pPr>
        <w:pStyle w:val="3"/>
        <w:jc w:val="center"/>
        <w:rPr>
          <w:color w:val="auto"/>
          <w:highlight w:val="none"/>
        </w:rPr>
      </w:pPr>
      <w:bookmarkStart w:id="6" w:name="_Toc393040191"/>
      <w:r>
        <w:rPr>
          <w:rFonts w:hint="eastAsia"/>
          <w:color w:val="auto"/>
          <w:highlight w:val="none"/>
        </w:rPr>
        <w:t>第五章响应文件格式</w:t>
      </w:r>
      <w:bookmarkEnd w:id="6"/>
    </w:p>
    <w:p>
      <w:pPr>
        <w:spacing w:line="240" w:lineRule="atLeast"/>
        <w:jc w:val="center"/>
        <w:rPr>
          <w:rFonts w:ascii="宋体" w:hAnsi="宋体"/>
          <w:b/>
          <w:color w:val="auto"/>
          <w:sz w:val="32"/>
          <w:szCs w:val="32"/>
          <w:highlight w:val="none"/>
        </w:rPr>
      </w:pPr>
      <w:r>
        <w:rPr>
          <w:rFonts w:hint="eastAsia" w:ascii="宋体" w:hAnsi="宋体"/>
          <w:b/>
          <w:color w:val="auto"/>
          <w:sz w:val="44"/>
          <w:szCs w:val="44"/>
          <w:highlight w:val="none"/>
        </w:rPr>
        <w:t>响应文件</w:t>
      </w:r>
      <w:r>
        <w:rPr>
          <w:rFonts w:hint="eastAsia" w:ascii="宋体" w:hAnsi="宋体"/>
          <w:color w:val="auto"/>
          <w:szCs w:val="21"/>
          <w:highlight w:val="none"/>
        </w:rPr>
        <w:t>(封面）</w:t>
      </w: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采购项目编号：</w:t>
      </w:r>
    </w:p>
    <w:p>
      <w:pPr>
        <w:tabs>
          <w:tab w:val="left" w:pos="3240"/>
        </w:tabs>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采购项目名称：</w:t>
      </w:r>
    </w:p>
    <w:p>
      <w:pPr>
        <w:tabs>
          <w:tab w:val="left" w:pos="2625"/>
        </w:tabs>
        <w:spacing w:line="360" w:lineRule="auto"/>
        <w:jc w:val="center"/>
        <w:rPr>
          <w:rFonts w:ascii="宋体" w:hAnsi="宋体"/>
          <w:color w:val="auto"/>
          <w:szCs w:val="21"/>
          <w:highlight w:val="none"/>
        </w:rPr>
      </w:pPr>
    </w:p>
    <w:p>
      <w:pPr>
        <w:tabs>
          <w:tab w:val="left" w:pos="2625"/>
        </w:tabs>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（供应商名称）</w:t>
      </w:r>
    </w:p>
    <w:p>
      <w:pPr>
        <w:spacing w:line="360" w:lineRule="auto"/>
        <w:ind w:firstLine="6111" w:firstLineChars="2910"/>
        <w:rPr>
          <w:rFonts w:ascii="宋体" w:hAnsi="宋体"/>
          <w:color w:val="auto"/>
          <w:szCs w:val="21"/>
          <w:highlight w:val="none"/>
        </w:rPr>
      </w:pPr>
      <w:r>
        <w:rPr>
          <w:rFonts w:hint="eastAsia" w:ascii="宋体" w:hAnsi="宋体"/>
          <w:color w:val="auto"/>
          <w:szCs w:val="21"/>
          <w:highlight w:val="none"/>
        </w:rPr>
        <w:t>年    月    日</w:t>
      </w: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附件一 </w:t>
      </w:r>
    </w:p>
    <w:p>
      <w:pPr>
        <w:spacing w:line="320" w:lineRule="exact"/>
        <w:rPr>
          <w:rFonts w:ascii="宋体" w:hAnsi="宋体"/>
          <w:color w:val="auto"/>
          <w:szCs w:val="21"/>
          <w:highlight w:val="none"/>
        </w:rPr>
      </w:pPr>
    </w:p>
    <w:p>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谈  判  书</w:t>
      </w:r>
    </w:p>
    <w:p>
      <w:pPr>
        <w:spacing w:line="320" w:lineRule="exact"/>
        <w:jc w:val="center"/>
        <w:rPr>
          <w:rFonts w:ascii="宋体" w:hAnsi="宋体"/>
          <w:b/>
          <w:color w:val="auto"/>
          <w:sz w:val="32"/>
          <w:szCs w:val="32"/>
          <w:highlight w:val="none"/>
        </w:rPr>
      </w:pPr>
    </w:p>
    <w:p>
      <w:pPr>
        <w:pStyle w:val="25"/>
        <w:spacing w:line="400" w:lineRule="exact"/>
        <w:rPr>
          <w:rFonts w:hAnsi="宋体"/>
          <w:color w:val="auto"/>
          <w:highlight w:val="none"/>
        </w:rPr>
      </w:pPr>
      <w:r>
        <w:rPr>
          <w:rFonts w:hint="eastAsia" w:hAnsi="宋体" w:cs="Times New Roman"/>
          <w:color w:val="auto"/>
          <w:highlight w:val="none"/>
        </w:rPr>
        <w:t>致____________(采购人)</w:t>
      </w:r>
      <w:r>
        <w:rPr>
          <w:rFonts w:hint="eastAsia" w:hAnsi="宋体"/>
          <w:color w:val="auto"/>
          <w:highlight w:val="none"/>
        </w:rPr>
        <w:t>：</w:t>
      </w:r>
    </w:p>
    <w:p>
      <w:pPr>
        <w:pStyle w:val="25"/>
        <w:spacing w:line="400" w:lineRule="exact"/>
        <w:ind w:firstLine="420" w:firstLineChars="200"/>
        <w:rPr>
          <w:rFonts w:hAnsi="宋体"/>
          <w:color w:val="auto"/>
          <w:highlight w:val="none"/>
        </w:rPr>
      </w:pPr>
      <w:r>
        <w:rPr>
          <w:rFonts w:hint="eastAsia" w:hAnsi="宋体"/>
          <w:color w:val="auto"/>
          <w:highlight w:val="none"/>
        </w:rPr>
        <w:t>依据贵方</w:t>
      </w:r>
      <w:r>
        <w:rPr>
          <w:rFonts w:hint="eastAsia" w:hAnsi="宋体"/>
          <w:color w:val="auto"/>
          <w:highlight w:val="none"/>
          <w:u w:val="single"/>
        </w:rPr>
        <w:t>（项目名称/文件编号）</w:t>
      </w:r>
      <w:r>
        <w:rPr>
          <w:rFonts w:hint="eastAsia" w:hAnsi="宋体"/>
          <w:color w:val="auto"/>
          <w:highlight w:val="none"/>
        </w:rPr>
        <w:t>项目采购的谈判邀请，我方</w:t>
      </w:r>
      <w:r>
        <w:rPr>
          <w:rFonts w:hint="eastAsia" w:hAnsi="宋体"/>
          <w:color w:val="auto"/>
          <w:highlight w:val="none"/>
          <w:u w:val="single"/>
        </w:rPr>
        <w:t>（姓名和职务）</w:t>
      </w:r>
      <w:r>
        <w:rPr>
          <w:rFonts w:hint="eastAsia" w:hAnsi="宋体"/>
          <w:color w:val="auto"/>
          <w:highlight w:val="none"/>
        </w:rPr>
        <w:t>经正式授权并代表供应商</w:t>
      </w:r>
      <w:r>
        <w:rPr>
          <w:rFonts w:hint="eastAsia" w:hAnsi="宋体"/>
          <w:color w:val="auto"/>
          <w:highlight w:val="none"/>
          <w:u w:val="single"/>
        </w:rPr>
        <w:t>（供应商名称、地址）</w:t>
      </w:r>
      <w:r>
        <w:rPr>
          <w:rFonts w:hint="eastAsia" w:hAnsi="宋体"/>
          <w:color w:val="auto"/>
          <w:highlight w:val="none"/>
        </w:rPr>
        <w:t>提交下述响应文件正本一份，副本份，包含下列内容：</w:t>
      </w:r>
    </w:p>
    <w:p>
      <w:pPr>
        <w:pStyle w:val="25"/>
        <w:spacing w:line="400" w:lineRule="exact"/>
        <w:ind w:firstLine="480"/>
        <w:rPr>
          <w:rFonts w:hAnsi="宋体"/>
          <w:color w:val="auto"/>
          <w:highlight w:val="none"/>
        </w:rPr>
      </w:pPr>
      <w:r>
        <w:rPr>
          <w:rFonts w:hint="eastAsia" w:hAnsi="宋体"/>
          <w:color w:val="auto"/>
          <w:highlight w:val="none"/>
        </w:rPr>
        <w:t>1. 报价表；</w:t>
      </w:r>
    </w:p>
    <w:p>
      <w:pPr>
        <w:pStyle w:val="25"/>
        <w:spacing w:line="400" w:lineRule="exact"/>
        <w:ind w:firstLine="480"/>
        <w:rPr>
          <w:rFonts w:hAnsi="宋体"/>
          <w:color w:val="auto"/>
          <w:highlight w:val="none"/>
        </w:rPr>
      </w:pPr>
      <w:r>
        <w:rPr>
          <w:rFonts w:hint="eastAsia" w:hAnsi="宋体"/>
          <w:color w:val="auto"/>
          <w:highlight w:val="none"/>
        </w:rPr>
        <w:t>2. 服务响应偏离情况说明表；</w:t>
      </w:r>
    </w:p>
    <w:p>
      <w:pPr>
        <w:pStyle w:val="25"/>
        <w:spacing w:line="400" w:lineRule="exact"/>
        <w:ind w:firstLine="480"/>
        <w:rPr>
          <w:rFonts w:hAnsi="宋体"/>
          <w:color w:val="auto"/>
          <w:highlight w:val="none"/>
        </w:rPr>
      </w:pPr>
      <w:r>
        <w:rPr>
          <w:rFonts w:hint="eastAsia" w:hAnsi="宋体"/>
          <w:color w:val="auto"/>
          <w:highlight w:val="none"/>
        </w:rPr>
        <w:t>3. 投入设备响应表；</w:t>
      </w:r>
    </w:p>
    <w:p>
      <w:pPr>
        <w:pStyle w:val="25"/>
        <w:spacing w:line="400" w:lineRule="exact"/>
        <w:ind w:firstLine="480"/>
        <w:rPr>
          <w:rFonts w:hAnsi="宋体"/>
          <w:color w:val="auto"/>
          <w:highlight w:val="none"/>
        </w:rPr>
      </w:pPr>
      <w:r>
        <w:rPr>
          <w:rFonts w:hint="eastAsia" w:hAnsi="宋体"/>
          <w:color w:val="auto"/>
          <w:highlight w:val="none"/>
        </w:rPr>
        <w:t>4. 技术支持和服务方案；</w:t>
      </w:r>
    </w:p>
    <w:p>
      <w:pPr>
        <w:pStyle w:val="25"/>
        <w:spacing w:line="400" w:lineRule="exact"/>
        <w:ind w:firstLine="480"/>
        <w:rPr>
          <w:rFonts w:hAnsi="宋体"/>
          <w:color w:val="auto"/>
          <w:highlight w:val="none"/>
        </w:rPr>
      </w:pPr>
      <w:r>
        <w:rPr>
          <w:rFonts w:hint="eastAsia" w:hAnsi="宋体"/>
          <w:color w:val="auto"/>
          <w:highlight w:val="none"/>
        </w:rPr>
        <w:t>5. 按谈判采购文件供应商须知和服务需求及要求提供的有关文件；</w:t>
      </w:r>
    </w:p>
    <w:p>
      <w:pPr>
        <w:pStyle w:val="25"/>
        <w:spacing w:line="400" w:lineRule="exact"/>
        <w:ind w:firstLine="480"/>
        <w:rPr>
          <w:rFonts w:hAnsi="宋体"/>
          <w:color w:val="auto"/>
          <w:highlight w:val="none"/>
        </w:rPr>
      </w:pPr>
      <w:r>
        <w:rPr>
          <w:rFonts w:hint="eastAsia" w:hAnsi="宋体"/>
          <w:color w:val="auto"/>
          <w:highlight w:val="none"/>
        </w:rPr>
        <w:t>6. 资格证明文件；</w:t>
      </w:r>
    </w:p>
    <w:p>
      <w:pPr>
        <w:pStyle w:val="25"/>
        <w:spacing w:line="400" w:lineRule="exact"/>
        <w:ind w:firstLine="420" w:firstLineChars="200"/>
        <w:rPr>
          <w:rFonts w:hAnsi="宋体"/>
          <w:color w:val="auto"/>
          <w:highlight w:val="none"/>
        </w:rPr>
      </w:pPr>
      <w:r>
        <w:rPr>
          <w:rFonts w:hint="eastAsia" w:hAnsi="宋体"/>
          <w:color w:val="auto"/>
          <w:highlight w:val="none"/>
        </w:rPr>
        <w:t>在此，授权代表宣布同意如下：</w:t>
      </w:r>
    </w:p>
    <w:p>
      <w:pPr>
        <w:pStyle w:val="25"/>
        <w:spacing w:line="400" w:lineRule="exact"/>
        <w:ind w:firstLine="420" w:firstLineChars="200"/>
        <w:rPr>
          <w:rFonts w:hAnsi="宋体"/>
          <w:color w:val="auto"/>
          <w:highlight w:val="none"/>
        </w:rPr>
      </w:pPr>
      <w:r>
        <w:rPr>
          <w:rFonts w:hint="eastAsia" w:hAnsi="宋体"/>
          <w:color w:val="auto"/>
          <w:highlight w:val="none"/>
        </w:rPr>
        <w:t>1.响应文件有效期：；</w:t>
      </w:r>
    </w:p>
    <w:p>
      <w:pPr>
        <w:pStyle w:val="25"/>
        <w:spacing w:line="400" w:lineRule="exact"/>
        <w:ind w:firstLine="420" w:firstLineChars="200"/>
        <w:rPr>
          <w:rFonts w:hAnsi="宋体"/>
          <w:color w:val="auto"/>
          <w:highlight w:val="none"/>
        </w:rPr>
      </w:pPr>
      <w:r>
        <w:rPr>
          <w:rFonts w:hint="eastAsia" w:hAnsi="宋体"/>
          <w:color w:val="auto"/>
          <w:highlight w:val="none"/>
        </w:rPr>
        <w:t>2. 将按谈判采购文件的约定履行合同责任和义务；</w:t>
      </w:r>
    </w:p>
    <w:p>
      <w:pPr>
        <w:pStyle w:val="25"/>
        <w:spacing w:line="400" w:lineRule="exact"/>
        <w:ind w:firstLine="420" w:firstLineChars="200"/>
        <w:rPr>
          <w:rFonts w:hAnsi="宋体"/>
          <w:color w:val="auto"/>
          <w:highlight w:val="none"/>
        </w:rPr>
      </w:pPr>
      <w:r>
        <w:rPr>
          <w:rFonts w:hint="eastAsia" w:hAnsi="宋体"/>
          <w:color w:val="auto"/>
          <w:highlight w:val="none"/>
        </w:rPr>
        <w:t>3. 已详细审查全部谈判采购文件，包括</w:t>
      </w:r>
      <w:r>
        <w:rPr>
          <w:rFonts w:hint="eastAsia" w:hAnsi="宋体"/>
          <w:color w:val="auto"/>
          <w:highlight w:val="none"/>
          <w:u w:val="single"/>
        </w:rPr>
        <w:t>（补遗文件）（如果有的话）</w:t>
      </w:r>
      <w:r>
        <w:rPr>
          <w:rFonts w:hint="eastAsia" w:hAnsi="宋体"/>
          <w:color w:val="auto"/>
          <w:highlight w:val="none"/>
        </w:rPr>
        <w:t>；我们完全理解并同意放弃对这方面有不明及误解的权力；</w:t>
      </w:r>
    </w:p>
    <w:p>
      <w:pPr>
        <w:pStyle w:val="25"/>
        <w:spacing w:line="400" w:lineRule="exact"/>
        <w:ind w:firstLine="420" w:firstLineChars="200"/>
        <w:rPr>
          <w:rFonts w:hAnsi="宋体"/>
          <w:color w:val="auto"/>
          <w:highlight w:val="none"/>
        </w:rPr>
      </w:pPr>
      <w:r>
        <w:rPr>
          <w:rFonts w:hint="eastAsia" w:hAnsi="宋体"/>
          <w:color w:val="auto"/>
          <w:highlight w:val="none"/>
        </w:rPr>
        <w:t>4. 同意提供按照贵方可能要求的与其谈判有关的一切数据或资料；</w:t>
      </w:r>
    </w:p>
    <w:p>
      <w:pPr>
        <w:pStyle w:val="25"/>
        <w:spacing w:line="400" w:lineRule="exact"/>
        <w:ind w:firstLine="420" w:firstLineChars="200"/>
        <w:rPr>
          <w:rFonts w:hAnsi="宋体"/>
          <w:color w:val="auto"/>
          <w:highlight w:val="none"/>
        </w:rPr>
      </w:pPr>
      <w:r>
        <w:rPr>
          <w:rFonts w:hint="eastAsia" w:hAnsi="宋体"/>
          <w:color w:val="auto"/>
          <w:highlight w:val="none"/>
        </w:rPr>
        <w:t>5. 与本谈判有关的一切正式往来信函请寄：邮政编号：</w:t>
      </w:r>
    </w:p>
    <w:p>
      <w:pPr>
        <w:pStyle w:val="25"/>
        <w:spacing w:line="400" w:lineRule="exact"/>
        <w:ind w:firstLine="840"/>
        <w:rPr>
          <w:rFonts w:hAnsi="宋体"/>
          <w:color w:val="auto"/>
          <w:highlight w:val="none"/>
        </w:rPr>
      </w:pPr>
      <w:r>
        <w:rPr>
          <w:rFonts w:hint="eastAsia" w:hAnsi="宋体"/>
          <w:color w:val="auto"/>
          <w:highlight w:val="none"/>
        </w:rPr>
        <w:t>电话/传真： 电子函件：</w:t>
      </w:r>
    </w:p>
    <w:p>
      <w:pPr>
        <w:pStyle w:val="25"/>
        <w:spacing w:line="400" w:lineRule="exact"/>
        <w:ind w:firstLine="840"/>
        <w:rPr>
          <w:rFonts w:hAnsi="宋体"/>
          <w:color w:val="auto"/>
          <w:highlight w:val="none"/>
        </w:rPr>
      </w:pPr>
    </w:p>
    <w:p>
      <w:pPr>
        <w:pStyle w:val="25"/>
        <w:spacing w:line="400" w:lineRule="exact"/>
        <w:ind w:firstLine="840"/>
        <w:rPr>
          <w:rFonts w:hAnsi="宋体"/>
          <w:color w:val="auto"/>
          <w:highlight w:val="none"/>
          <w:u w:val="single"/>
        </w:rPr>
      </w:pPr>
      <w:r>
        <w:rPr>
          <w:rFonts w:hint="eastAsia" w:hAnsi="宋体"/>
          <w:color w:val="auto"/>
          <w:highlight w:val="none"/>
        </w:rPr>
        <w:t>法定代表人或被授权人签字：</w:t>
      </w:r>
    </w:p>
    <w:p>
      <w:pPr>
        <w:pStyle w:val="25"/>
        <w:spacing w:line="400" w:lineRule="exact"/>
        <w:ind w:firstLine="840"/>
        <w:rPr>
          <w:rFonts w:hAnsi="宋体"/>
          <w:color w:val="auto"/>
          <w:highlight w:val="none"/>
        </w:rPr>
      </w:pPr>
      <w:r>
        <w:rPr>
          <w:rFonts w:hint="eastAsia" w:hAnsi="宋体"/>
          <w:color w:val="auto"/>
          <w:highlight w:val="none"/>
        </w:rPr>
        <w:t>供应商名称（公章）：</w:t>
      </w:r>
    </w:p>
    <w:p>
      <w:pPr>
        <w:pStyle w:val="25"/>
        <w:spacing w:line="400" w:lineRule="exact"/>
        <w:ind w:firstLine="840"/>
        <w:rPr>
          <w:rFonts w:hAnsi="宋体"/>
          <w:color w:val="auto"/>
          <w:highlight w:val="none"/>
          <w:u w:val="single"/>
        </w:rPr>
      </w:pPr>
      <w:r>
        <w:rPr>
          <w:rFonts w:hint="eastAsia" w:hAnsi="宋体"/>
          <w:color w:val="auto"/>
          <w:highlight w:val="none"/>
        </w:rPr>
        <w:t>日期：     年  月  日</w:t>
      </w:r>
    </w:p>
    <w:p>
      <w:pPr>
        <w:pStyle w:val="25"/>
        <w:spacing w:line="400" w:lineRule="exact"/>
        <w:ind w:firstLine="840"/>
        <w:rPr>
          <w:rFonts w:hAnsi="宋体"/>
          <w:color w:val="auto"/>
          <w:highlight w:val="none"/>
        </w:rPr>
      </w:pPr>
    </w:p>
    <w:p>
      <w:pPr>
        <w:pStyle w:val="25"/>
        <w:spacing w:line="400" w:lineRule="exact"/>
        <w:ind w:firstLine="840"/>
        <w:rPr>
          <w:rFonts w:hAnsi="宋体"/>
          <w:color w:val="auto"/>
          <w:highlight w:val="none"/>
        </w:rPr>
      </w:pPr>
      <w:r>
        <w:rPr>
          <w:rFonts w:hint="eastAsia" w:hAnsi="宋体"/>
          <w:color w:val="auto"/>
          <w:highlight w:val="none"/>
        </w:rPr>
        <w:t>开户银行：帐号/行号：</w:t>
      </w: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附件二             </w:t>
      </w:r>
    </w:p>
    <w:p>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报  价  表</w:t>
      </w:r>
    </w:p>
    <w:p>
      <w:pPr>
        <w:spacing w:line="300" w:lineRule="auto"/>
        <w:rPr>
          <w:rFonts w:ascii="宋体" w:hAnsi="宋体"/>
          <w:color w:val="auto"/>
          <w:szCs w:val="21"/>
          <w:highlight w:val="none"/>
        </w:rPr>
      </w:pPr>
    </w:p>
    <w:p>
      <w:pPr>
        <w:spacing w:line="400" w:lineRule="exact"/>
        <w:rPr>
          <w:rFonts w:ascii="宋体" w:hAnsi="宋体"/>
          <w:color w:val="auto"/>
          <w:szCs w:val="21"/>
          <w:highlight w:val="none"/>
          <w:u w:val="single"/>
        </w:rPr>
      </w:pPr>
      <w:r>
        <w:rPr>
          <w:rFonts w:hint="eastAsia" w:ascii="宋体" w:hAnsi="宋体"/>
          <w:color w:val="auto"/>
          <w:szCs w:val="21"/>
          <w:highlight w:val="none"/>
        </w:rPr>
        <w:t>采购项目编号:</w:t>
      </w:r>
    </w:p>
    <w:p>
      <w:pPr>
        <w:spacing w:line="400" w:lineRule="exact"/>
        <w:rPr>
          <w:rFonts w:ascii="宋体" w:hAnsi="宋体"/>
          <w:color w:val="auto"/>
          <w:szCs w:val="21"/>
          <w:highlight w:val="none"/>
        </w:rPr>
      </w:pPr>
      <w:r>
        <w:rPr>
          <w:rFonts w:hint="eastAsia" w:ascii="宋体" w:hAnsi="宋体"/>
          <w:color w:val="auto"/>
          <w:szCs w:val="21"/>
          <w:highlight w:val="none"/>
        </w:rPr>
        <w:t>采购项目名称:</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color w:val="auto"/>
          <w:highlight w:val="none"/>
          <w:u w:val="single"/>
        </w:rPr>
        <w:t>　　</w:t>
      </w:r>
      <w:r>
        <w:rPr>
          <w:rFonts w:hint="eastAsia"/>
          <w:color w:val="auto"/>
          <w:highlight w:val="none"/>
        </w:rPr>
        <w:t>分标（有分标时填写）</w:t>
      </w:r>
    </w:p>
    <w:tbl>
      <w:tblPr>
        <w:tblStyle w:val="49"/>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7"/>
        <w:gridCol w:w="2987"/>
        <w:gridCol w:w="1030"/>
        <w:gridCol w:w="40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项号</w:t>
            </w:r>
          </w:p>
        </w:tc>
        <w:tc>
          <w:tcPr>
            <w:tcW w:w="29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ascii="宋体" w:hAnsi="宋体"/>
                <w:b/>
                <w:color w:val="auto"/>
                <w:szCs w:val="21"/>
                <w:highlight w:val="none"/>
              </w:rPr>
              <w:t>服务</w:t>
            </w:r>
            <w:r>
              <w:rPr>
                <w:rFonts w:hint="eastAsia" w:ascii="宋体" w:hAnsi="宋体"/>
                <w:b/>
                <w:color w:val="auto"/>
                <w:szCs w:val="21"/>
                <w:highlight w:val="none"/>
              </w:rPr>
              <w:t>名称</w:t>
            </w: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40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投标报价（元）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2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40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00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color w:val="auto"/>
                <w:szCs w:val="21"/>
                <w:highlight w:val="none"/>
              </w:rPr>
            </w:pPr>
            <w:r>
              <w:rPr>
                <w:rFonts w:hint="eastAsia" w:ascii="宋体" w:hAnsi="宋体"/>
                <w:color w:val="auto"/>
                <w:szCs w:val="21"/>
                <w:highlight w:val="none"/>
              </w:rPr>
              <w:t>服务期：</w:t>
            </w:r>
          </w:p>
        </w:tc>
      </w:tr>
    </w:tbl>
    <w:p>
      <w:pPr>
        <w:pStyle w:val="25"/>
        <w:rPr>
          <w:b/>
          <w:color w:val="auto"/>
          <w:highlight w:val="none"/>
        </w:rPr>
      </w:pPr>
    </w:p>
    <w:p>
      <w:pPr>
        <w:pStyle w:val="25"/>
        <w:spacing w:line="400" w:lineRule="exact"/>
        <w:rPr>
          <w:rFonts w:hAnsi="宋体"/>
          <w:color w:val="auto"/>
          <w:highlight w:val="none"/>
        </w:rPr>
      </w:pPr>
      <w:bookmarkStart w:id="7" w:name="_Toc356165644"/>
      <w:bookmarkStart w:id="8" w:name="_Toc356979893"/>
    </w:p>
    <w:p>
      <w:pPr>
        <w:pStyle w:val="25"/>
        <w:rPr>
          <w:color w:val="auto"/>
          <w:highlight w:val="none"/>
        </w:rPr>
      </w:pPr>
      <w:r>
        <w:rPr>
          <w:rFonts w:hint="eastAsia"/>
          <w:color w:val="auto"/>
          <w:highlight w:val="none"/>
        </w:rPr>
        <w:t>......</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供应商（公章）：</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法定代表人或委托代理人签字：</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日 期：</w:t>
      </w:r>
    </w:p>
    <w:p>
      <w:pPr>
        <w:rPr>
          <w:color w:val="auto"/>
          <w:highlight w:val="none"/>
        </w:rPr>
      </w:pPr>
    </w:p>
    <w:p>
      <w:pPr>
        <w:rPr>
          <w:color w:val="auto"/>
          <w:highlight w:val="none"/>
        </w:rPr>
      </w:pPr>
    </w:p>
    <w:p>
      <w:pPr>
        <w:rPr>
          <w:color w:val="auto"/>
          <w:highlight w:val="none"/>
        </w:rPr>
      </w:pPr>
    </w:p>
    <w:p>
      <w:pPr>
        <w:rPr>
          <w:color w:val="auto"/>
          <w:highlight w:val="none"/>
        </w:rPr>
      </w:pPr>
    </w:p>
    <w:bookmarkEnd w:id="7"/>
    <w:bookmarkEnd w:id="8"/>
    <w:p>
      <w:pPr>
        <w:spacing w:line="300" w:lineRule="auto"/>
        <w:rPr>
          <w:rFonts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附件三</w:t>
      </w:r>
    </w:p>
    <w:p>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服务响应偏离情况说明表</w:t>
      </w:r>
    </w:p>
    <w:p>
      <w:pPr>
        <w:spacing w:line="300" w:lineRule="auto"/>
        <w:rPr>
          <w:rFonts w:ascii="宋体" w:hAnsi="宋体"/>
          <w:color w:val="auto"/>
          <w:szCs w:val="21"/>
          <w:highlight w:val="none"/>
        </w:rPr>
      </w:pPr>
    </w:p>
    <w:p>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p>
    <w:p>
      <w:pPr>
        <w:pStyle w:val="25"/>
        <w:spacing w:line="600" w:lineRule="exact"/>
        <w:rPr>
          <w:rFonts w:hAnsi="宋体"/>
          <w:color w:val="auto"/>
          <w:highlight w:val="none"/>
        </w:rPr>
      </w:pPr>
      <w:r>
        <w:rPr>
          <w:rFonts w:hint="eastAsia" w:hAnsi="宋体"/>
          <w:color w:val="auto"/>
          <w:highlight w:val="none"/>
        </w:rPr>
        <w:t>采购项目名称:</w:t>
      </w:r>
    </w:p>
    <w:p>
      <w:pPr>
        <w:pStyle w:val="25"/>
        <w:spacing w:line="600" w:lineRule="exact"/>
        <w:rPr>
          <w:rFonts w:ascii="Times New Roman" w:hAnsi="Times New Roman"/>
          <w:color w:val="auto"/>
          <w:highlight w:val="none"/>
        </w:rPr>
      </w:pPr>
      <w:r>
        <w:rPr>
          <w:rFonts w:hint="eastAsia" w:ascii="Times New Roman" w:hAnsi="Times New Roman"/>
          <w:color w:val="auto"/>
          <w:highlight w:val="none"/>
          <w:u w:val="single"/>
        </w:rPr>
        <w:t>　　</w:t>
      </w:r>
      <w:r>
        <w:rPr>
          <w:rFonts w:hint="eastAsia" w:ascii="Times New Roman" w:hAnsi="Times New Roman"/>
          <w:color w:val="auto"/>
          <w:highlight w:val="none"/>
        </w:rPr>
        <w:t>分标</w:t>
      </w:r>
      <w:r>
        <w:rPr>
          <w:rFonts w:hint="eastAsia"/>
          <w:color w:val="auto"/>
          <w:highlight w:val="none"/>
        </w:rPr>
        <w:t>（有分标时填写）</w:t>
      </w:r>
    </w:p>
    <w:tbl>
      <w:tblPr>
        <w:tblStyle w:val="4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316"/>
        <w:gridCol w:w="2256"/>
        <w:gridCol w:w="2256"/>
        <w:gridCol w:w="1188"/>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项号</w:t>
            </w:r>
          </w:p>
        </w:tc>
        <w:tc>
          <w:tcPr>
            <w:tcW w:w="131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服务名称</w:t>
            </w:r>
          </w:p>
        </w:tc>
        <w:tc>
          <w:tcPr>
            <w:tcW w:w="225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服务要求</w:t>
            </w:r>
          </w:p>
        </w:tc>
        <w:tc>
          <w:tcPr>
            <w:tcW w:w="225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竞标响应情况</w:t>
            </w:r>
          </w:p>
        </w:tc>
        <w:tc>
          <w:tcPr>
            <w:tcW w:w="1188"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偏离</w:t>
            </w:r>
          </w:p>
        </w:tc>
        <w:tc>
          <w:tcPr>
            <w:tcW w:w="1145"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MingLiU_HKSCS"/>
                <w:color w:val="auto"/>
                <w:highlight w:val="none"/>
              </w:rPr>
            </w:pPr>
          </w:p>
        </w:tc>
      </w:tr>
    </w:tbl>
    <w:p>
      <w:pPr>
        <w:pStyle w:val="25"/>
        <w:spacing w:line="400" w:lineRule="exact"/>
        <w:rPr>
          <w:color w:val="auto"/>
          <w:highlight w:val="none"/>
        </w:rPr>
      </w:pPr>
      <w:r>
        <w:rPr>
          <w:rFonts w:hint="eastAsia" w:hAnsi="宋体"/>
          <w:color w:val="auto"/>
          <w:highlight w:val="none"/>
        </w:rPr>
        <w:t>说明：应对照谈判采购文件“第三章 项目需求”，逐条说明所提供货物或服务已对谈判采购文件的技术需求做出了实质性的响应，并申明与技术需求条文的响应和偏离。</w:t>
      </w:r>
    </w:p>
    <w:p>
      <w:pPr>
        <w:pStyle w:val="25"/>
        <w:spacing w:line="400" w:lineRule="exact"/>
        <w:rPr>
          <w:rFonts w:hAnsi="宋体"/>
          <w:color w:val="auto"/>
          <w:highlight w:val="none"/>
        </w:rPr>
      </w:pPr>
    </w:p>
    <w:p>
      <w:pPr>
        <w:pStyle w:val="25"/>
        <w:spacing w:line="600" w:lineRule="exact"/>
        <w:rPr>
          <w:rFonts w:ascii="Times New Roman" w:hAnsi="Times New Roman"/>
          <w:color w:val="auto"/>
          <w:highlight w:val="none"/>
        </w:rPr>
      </w:pPr>
      <w:r>
        <w:rPr>
          <w:rFonts w:hint="eastAsia" w:ascii="Times New Roman" w:hAnsi="Times New Roman"/>
          <w:color w:val="auto"/>
          <w:highlight w:val="none"/>
          <w:u w:val="single"/>
        </w:rPr>
        <w:t>　　</w:t>
      </w:r>
      <w:r>
        <w:rPr>
          <w:rFonts w:hint="eastAsia" w:ascii="Times New Roman" w:hAnsi="Times New Roman"/>
          <w:color w:val="auto"/>
          <w:highlight w:val="none"/>
        </w:rPr>
        <w:t>分标</w:t>
      </w:r>
      <w:r>
        <w:rPr>
          <w:rFonts w:hint="eastAsia"/>
          <w:color w:val="auto"/>
          <w:highlight w:val="none"/>
        </w:rPr>
        <w:t>（有分标时填写）</w:t>
      </w:r>
    </w:p>
    <w:p>
      <w:pPr>
        <w:pStyle w:val="25"/>
        <w:rPr>
          <w:color w:val="auto"/>
          <w:highlight w:val="none"/>
        </w:rPr>
      </w:pPr>
      <w:r>
        <w:rPr>
          <w:rFonts w:hint="eastAsia"/>
          <w:color w:val="auto"/>
          <w:highlight w:val="none"/>
        </w:rPr>
        <w:t>......</w:t>
      </w:r>
    </w:p>
    <w:p>
      <w:pPr>
        <w:pStyle w:val="25"/>
        <w:spacing w:line="360" w:lineRule="auto"/>
        <w:rPr>
          <w:rFonts w:hAnsi="宋体" w:cs="Times New Roman"/>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法定代表人或被授权人（签字）:</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供应商名称（公章）：</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 xml:space="preserve">日 期：    年  月  日 </w:t>
      </w:r>
    </w:p>
    <w:p>
      <w:pPr>
        <w:pStyle w:val="25"/>
        <w:spacing w:line="400" w:lineRule="exact"/>
        <w:rPr>
          <w:rFonts w:hAnsi="宋体"/>
          <w:color w:val="auto"/>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b/>
          <w:color w:val="auto"/>
          <w:szCs w:val="21"/>
          <w:highlight w:val="none"/>
        </w:rPr>
      </w:pPr>
      <w:r>
        <w:rPr>
          <w:rFonts w:ascii="宋体" w:hAnsi="宋体"/>
          <w:color w:val="auto"/>
          <w:szCs w:val="21"/>
          <w:highlight w:val="none"/>
        </w:rPr>
        <w:br w:type="page"/>
      </w:r>
    </w:p>
    <w:p>
      <w:pPr>
        <w:spacing w:line="300" w:lineRule="auto"/>
        <w:rPr>
          <w:rFonts w:ascii="宋体" w:hAnsi="宋体"/>
          <w:b/>
          <w:color w:val="auto"/>
          <w:szCs w:val="21"/>
          <w:highlight w:val="none"/>
        </w:rPr>
      </w:pPr>
      <w:r>
        <w:rPr>
          <w:rFonts w:hint="eastAsia" w:ascii="宋体" w:hAnsi="宋体"/>
          <w:b/>
          <w:color w:val="auto"/>
          <w:szCs w:val="21"/>
          <w:highlight w:val="none"/>
        </w:rPr>
        <w:t>附件四：</w:t>
      </w:r>
    </w:p>
    <w:p>
      <w:pPr>
        <w:spacing w:line="300" w:lineRule="auto"/>
        <w:rPr>
          <w:rFonts w:ascii="宋体" w:hAnsi="宋体"/>
          <w:b/>
          <w:color w:val="auto"/>
          <w:szCs w:val="21"/>
          <w:highlight w:val="none"/>
        </w:rPr>
      </w:pPr>
    </w:p>
    <w:p>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投入设备响应表</w:t>
      </w:r>
    </w:p>
    <w:p>
      <w:pPr>
        <w:spacing w:line="300" w:lineRule="auto"/>
        <w:rPr>
          <w:rFonts w:ascii="宋体" w:hAnsi="宋体"/>
          <w:color w:val="auto"/>
          <w:szCs w:val="21"/>
          <w:highlight w:val="none"/>
        </w:rPr>
      </w:pPr>
    </w:p>
    <w:p>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p>
    <w:p>
      <w:pPr>
        <w:spacing w:line="300" w:lineRule="auto"/>
        <w:rPr>
          <w:rFonts w:ascii="宋体" w:hAnsi="宋体"/>
          <w:color w:val="auto"/>
          <w:szCs w:val="21"/>
          <w:highlight w:val="none"/>
        </w:rPr>
      </w:pPr>
      <w:r>
        <w:rPr>
          <w:rFonts w:hint="eastAsia" w:ascii="宋体" w:hAnsi="宋体"/>
          <w:color w:val="auto"/>
          <w:szCs w:val="21"/>
          <w:highlight w:val="none"/>
        </w:rPr>
        <w:t>采购项目名称:</w:t>
      </w:r>
    </w:p>
    <w:tbl>
      <w:tblPr>
        <w:tblStyle w:val="4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676"/>
        <w:gridCol w:w="1896"/>
        <w:gridCol w:w="2256"/>
        <w:gridCol w:w="1188"/>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项号</w:t>
            </w:r>
          </w:p>
        </w:tc>
        <w:tc>
          <w:tcPr>
            <w:tcW w:w="167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投入设备名称</w:t>
            </w:r>
          </w:p>
        </w:tc>
        <w:tc>
          <w:tcPr>
            <w:tcW w:w="189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采购文件要求</w:t>
            </w:r>
          </w:p>
        </w:tc>
        <w:tc>
          <w:tcPr>
            <w:tcW w:w="225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竞标响应情况</w:t>
            </w:r>
          </w:p>
        </w:tc>
        <w:tc>
          <w:tcPr>
            <w:tcW w:w="1188"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偏离</w:t>
            </w:r>
          </w:p>
        </w:tc>
        <w:tc>
          <w:tcPr>
            <w:tcW w:w="1143"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MingLiU_HKSCS"/>
                <w:color w:val="auto"/>
                <w:highlight w:val="none"/>
              </w:rPr>
            </w:pPr>
          </w:p>
        </w:tc>
      </w:tr>
    </w:tbl>
    <w:p>
      <w:pPr>
        <w:pStyle w:val="25"/>
        <w:rPr>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法定代表人或被授权人（签字）:</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供应商名称（公章）：</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 xml:space="preserve">日  期：      年   月   日 </w:t>
      </w:r>
    </w:p>
    <w:p>
      <w:pPr>
        <w:spacing w:line="300" w:lineRule="auto"/>
        <w:jc w:val="center"/>
        <w:rPr>
          <w:rFonts w:ascii="宋体" w:hAnsi="宋体"/>
          <w:color w:val="auto"/>
          <w:szCs w:val="21"/>
          <w:highlight w:val="none"/>
          <w:u w:val="single"/>
        </w:rPr>
      </w:pPr>
      <w:r>
        <w:rPr>
          <w:rFonts w:ascii="宋体" w:hAnsi="宋体"/>
          <w:color w:val="auto"/>
          <w:szCs w:val="21"/>
          <w:highlight w:val="none"/>
        </w:rPr>
        <w:br w:type="page"/>
      </w:r>
      <w:r>
        <w:rPr>
          <w:rFonts w:ascii="宋体" w:hAnsi="宋体"/>
          <w:b/>
          <w:color w:val="auto"/>
          <w:sz w:val="32"/>
          <w:szCs w:val="32"/>
          <w:highlight w:val="none"/>
        </w:rPr>
        <w:t>服务承诺</w:t>
      </w:r>
    </w:p>
    <w:p>
      <w:pPr>
        <w:spacing w:line="300" w:lineRule="auto"/>
        <w:jc w:val="center"/>
        <w:rPr>
          <w:rFonts w:ascii="宋体" w:hAnsi="宋体"/>
          <w:b/>
          <w:color w:val="auto"/>
          <w:szCs w:val="21"/>
          <w:highlight w:val="none"/>
        </w:rPr>
      </w:pPr>
      <w:r>
        <w:rPr>
          <w:rFonts w:hint="eastAsia" w:ascii="宋体" w:hAnsi="宋体"/>
          <w:color w:val="auto"/>
          <w:szCs w:val="21"/>
          <w:highlight w:val="none"/>
        </w:rPr>
        <w:t>（请结合第三章“项目需求”中的服务内容要求及承诺内容要求自行编写）</w:t>
      </w:r>
    </w:p>
    <w:p>
      <w:pPr>
        <w:spacing w:line="300" w:lineRule="auto"/>
        <w:rPr>
          <w:rFonts w:ascii="宋体" w:hAnsi="宋体"/>
          <w:b/>
          <w:color w:val="auto"/>
          <w:szCs w:val="21"/>
          <w:highlight w:val="none"/>
        </w:rPr>
      </w:pPr>
      <w:r>
        <w:rPr>
          <w:rFonts w:ascii="宋体" w:hAnsi="宋体"/>
          <w:b/>
          <w:color w:val="auto"/>
          <w:szCs w:val="21"/>
          <w:highlight w:val="none"/>
        </w:rPr>
        <w:br w:type="page"/>
      </w:r>
    </w:p>
    <w:p>
      <w:pPr>
        <w:spacing w:line="300" w:lineRule="auto"/>
        <w:rPr>
          <w:rFonts w:ascii="宋体" w:hAnsi="宋体"/>
          <w:b/>
          <w:color w:val="auto"/>
          <w:szCs w:val="21"/>
          <w:highlight w:val="none"/>
        </w:rPr>
      </w:pPr>
      <w:r>
        <w:rPr>
          <w:rFonts w:hint="eastAsia" w:ascii="宋体" w:hAnsi="宋体"/>
          <w:b/>
          <w:color w:val="auto"/>
          <w:szCs w:val="21"/>
          <w:highlight w:val="none"/>
        </w:rPr>
        <w:t>附件五</w:t>
      </w:r>
    </w:p>
    <w:p>
      <w:pPr>
        <w:pStyle w:val="25"/>
        <w:spacing w:line="440" w:lineRule="exact"/>
        <w:jc w:val="center"/>
        <w:rPr>
          <w:b/>
          <w:color w:val="auto"/>
          <w:sz w:val="32"/>
          <w:szCs w:val="32"/>
          <w:highlight w:val="none"/>
        </w:rPr>
      </w:pPr>
      <w:r>
        <w:rPr>
          <w:rFonts w:hint="eastAsia"/>
          <w:b/>
          <w:color w:val="auto"/>
          <w:sz w:val="32"/>
          <w:szCs w:val="32"/>
          <w:highlight w:val="none"/>
        </w:rPr>
        <w:t>法定代表人身份证明书</w:t>
      </w:r>
    </w:p>
    <w:p>
      <w:pPr>
        <w:pStyle w:val="25"/>
        <w:spacing w:line="460" w:lineRule="exact"/>
        <w:ind w:firstLine="542" w:firstLineChars="257"/>
        <w:jc w:val="center"/>
        <w:rPr>
          <w:b/>
          <w:color w:val="auto"/>
          <w:highlight w:val="none"/>
        </w:rPr>
      </w:pPr>
    </w:p>
    <w:p>
      <w:pPr>
        <w:spacing w:line="500" w:lineRule="exact"/>
        <w:rPr>
          <w:rFonts w:ascii="宋体" w:hAnsi="宋体"/>
          <w:color w:val="auto"/>
          <w:szCs w:val="21"/>
          <w:highlight w:val="none"/>
        </w:rPr>
      </w:pPr>
      <w:r>
        <w:rPr>
          <w:rFonts w:hint="eastAsia" w:ascii="宋体" w:hAnsi="宋体"/>
          <w:color w:val="auto"/>
          <w:szCs w:val="21"/>
          <w:highlight w:val="none"/>
        </w:rPr>
        <w:t>供应商：</w:t>
      </w:r>
    </w:p>
    <w:p>
      <w:pPr>
        <w:spacing w:line="500" w:lineRule="exact"/>
        <w:rPr>
          <w:rFonts w:ascii="宋体" w:hAnsi="宋体"/>
          <w:color w:val="auto"/>
          <w:szCs w:val="21"/>
          <w:highlight w:val="none"/>
        </w:rPr>
      </w:pPr>
      <w:r>
        <w:rPr>
          <w:rFonts w:hint="eastAsia" w:ascii="宋体" w:hAnsi="宋体"/>
          <w:color w:val="auto"/>
          <w:szCs w:val="21"/>
          <w:highlight w:val="none"/>
        </w:rPr>
        <w:t>单位性质：</w:t>
      </w:r>
    </w:p>
    <w:p>
      <w:pPr>
        <w:spacing w:line="500" w:lineRule="exact"/>
        <w:rPr>
          <w:rFonts w:ascii="宋体" w:hAnsi="宋体"/>
          <w:color w:val="auto"/>
          <w:szCs w:val="21"/>
          <w:highlight w:val="none"/>
        </w:rPr>
      </w:pPr>
      <w:r>
        <w:rPr>
          <w:rFonts w:hint="eastAsia" w:ascii="宋体" w:hAnsi="宋体"/>
          <w:color w:val="auto"/>
          <w:szCs w:val="21"/>
          <w:highlight w:val="none"/>
        </w:rPr>
        <w:t>地    址：</w:t>
      </w:r>
    </w:p>
    <w:p>
      <w:pPr>
        <w:spacing w:line="500" w:lineRule="exact"/>
        <w:rPr>
          <w:rFonts w:ascii="宋体" w:hAnsi="宋体"/>
          <w:color w:val="auto"/>
          <w:szCs w:val="21"/>
          <w:highlight w:val="none"/>
        </w:rPr>
      </w:pPr>
      <w:r>
        <w:rPr>
          <w:rFonts w:hint="eastAsia" w:ascii="宋体" w:hAnsi="宋体"/>
          <w:color w:val="auto"/>
          <w:szCs w:val="21"/>
          <w:highlight w:val="none"/>
        </w:rPr>
        <w:t>成立时间：      年  月  日</w:t>
      </w:r>
    </w:p>
    <w:p>
      <w:pPr>
        <w:spacing w:line="500" w:lineRule="exact"/>
        <w:rPr>
          <w:rFonts w:ascii="宋体" w:hAnsi="宋体"/>
          <w:color w:val="auto"/>
          <w:szCs w:val="21"/>
          <w:highlight w:val="none"/>
        </w:rPr>
      </w:pPr>
      <w:r>
        <w:rPr>
          <w:rFonts w:hint="eastAsia" w:ascii="宋体" w:hAnsi="宋体"/>
          <w:color w:val="auto"/>
          <w:szCs w:val="21"/>
          <w:highlight w:val="none"/>
        </w:rPr>
        <w:t>经营期限：</w:t>
      </w:r>
    </w:p>
    <w:p>
      <w:pPr>
        <w:spacing w:line="500" w:lineRule="exact"/>
        <w:rPr>
          <w:rFonts w:ascii="宋体" w:hAnsi="宋体"/>
          <w:color w:val="auto"/>
          <w:szCs w:val="21"/>
          <w:highlight w:val="none"/>
        </w:rPr>
      </w:pPr>
      <w:r>
        <w:rPr>
          <w:rFonts w:hint="eastAsia" w:ascii="宋体" w:hAnsi="宋体"/>
          <w:color w:val="auto"/>
          <w:szCs w:val="21"/>
          <w:highlight w:val="none"/>
        </w:rPr>
        <w:t>姓    名：性      别：</w:t>
      </w:r>
    </w:p>
    <w:p>
      <w:pPr>
        <w:spacing w:line="500" w:lineRule="exact"/>
        <w:rPr>
          <w:rFonts w:ascii="宋体" w:hAnsi="宋体"/>
          <w:color w:val="auto"/>
          <w:szCs w:val="21"/>
          <w:highlight w:val="none"/>
          <w:u w:val="single"/>
        </w:rPr>
      </w:pPr>
      <w:r>
        <w:rPr>
          <w:rFonts w:hint="eastAsia" w:ascii="宋体" w:hAnsi="宋体"/>
          <w:color w:val="auto"/>
          <w:szCs w:val="21"/>
          <w:highlight w:val="none"/>
        </w:rPr>
        <w:t>年    龄：职      务：</w:t>
      </w:r>
    </w:p>
    <w:p>
      <w:pPr>
        <w:spacing w:line="500" w:lineRule="exact"/>
        <w:rPr>
          <w:rFonts w:ascii="宋体" w:hAnsi="宋体"/>
          <w:color w:val="auto"/>
          <w:szCs w:val="21"/>
          <w:highlight w:val="none"/>
        </w:rPr>
      </w:pPr>
      <w:r>
        <w:rPr>
          <w:rFonts w:hint="eastAsia" w:ascii="宋体" w:hAnsi="宋体"/>
          <w:color w:val="auto"/>
          <w:szCs w:val="21"/>
          <w:highlight w:val="none"/>
        </w:rPr>
        <w:t>身份证</w:t>
      </w:r>
      <w:r>
        <w:rPr>
          <w:rFonts w:hint="eastAsia"/>
          <w:color w:val="auto"/>
          <w:szCs w:val="21"/>
          <w:highlight w:val="none"/>
        </w:rPr>
        <w:t>号码：</w:t>
      </w:r>
    </w:p>
    <w:p>
      <w:pPr>
        <w:spacing w:line="500" w:lineRule="exact"/>
        <w:rPr>
          <w:rFonts w:ascii="宋体" w:hAnsi="宋体"/>
          <w:color w:val="auto"/>
          <w:szCs w:val="21"/>
          <w:highlight w:val="none"/>
        </w:rPr>
      </w:pPr>
      <w:r>
        <w:rPr>
          <w:rFonts w:hint="eastAsia" w:ascii="宋体" w:hAnsi="宋体"/>
          <w:color w:val="auto"/>
          <w:szCs w:val="21"/>
          <w:highlight w:val="none"/>
        </w:rPr>
        <w:t>系（供应商名称）的法定代表人。</w:t>
      </w:r>
    </w:p>
    <w:p>
      <w:pPr>
        <w:pStyle w:val="25"/>
        <w:spacing w:line="460" w:lineRule="exact"/>
        <w:ind w:firstLine="539" w:firstLineChars="257"/>
        <w:rPr>
          <w:rFonts w:hAnsi="宋体"/>
          <w:color w:val="auto"/>
          <w:highlight w:val="none"/>
        </w:rPr>
      </w:pPr>
      <w:r>
        <w:rPr>
          <w:rFonts w:hint="eastAsia" w:hAnsi="宋体"/>
          <w:color w:val="auto"/>
          <w:highlight w:val="none"/>
        </w:rPr>
        <w:t>特此证明。</w:t>
      </w:r>
    </w:p>
    <w:p>
      <w:pPr>
        <w:spacing w:line="500" w:lineRule="exact"/>
        <w:ind w:left="540"/>
        <w:rPr>
          <w:rFonts w:ascii="宋体" w:hAnsi="宋体"/>
          <w:color w:val="auto"/>
          <w:szCs w:val="21"/>
          <w:highlight w:val="none"/>
        </w:rPr>
      </w:pPr>
      <w:r>
        <w:rPr>
          <w:rFonts w:hint="eastAsia"/>
          <w:color w:val="auto"/>
          <w:highlight w:val="none"/>
        </w:rPr>
        <w:t>附：法定代表人有效的身份证正反面复印件</w:t>
      </w:r>
    </w:p>
    <w:p>
      <w:pPr>
        <w:pStyle w:val="25"/>
        <w:spacing w:line="360" w:lineRule="auto"/>
        <w:rPr>
          <w:rFonts w:hAnsi="宋体" w:cs="MingLiU_HKSCS"/>
          <w:color w:val="auto"/>
          <w:highlight w:val="none"/>
        </w:rPr>
      </w:pPr>
    </w:p>
    <w:tbl>
      <w:tblPr>
        <w:tblStyle w:val="49"/>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89" w:type="dxa"/>
            <w:vAlign w:val="center"/>
          </w:tcPr>
          <w:p>
            <w:pPr>
              <w:pStyle w:val="25"/>
              <w:spacing w:line="360" w:lineRule="auto"/>
              <w:jc w:val="center"/>
              <w:rPr>
                <w:rFonts w:hAnsi="宋体" w:cs="MingLiU_HKSCS"/>
                <w:color w:val="auto"/>
                <w:highlight w:val="none"/>
              </w:rPr>
            </w:pPr>
          </w:p>
          <w:p>
            <w:pPr>
              <w:pStyle w:val="25"/>
              <w:spacing w:line="360" w:lineRule="auto"/>
              <w:jc w:val="center"/>
              <w:rPr>
                <w:rFonts w:hAnsi="宋体" w:cs="MingLiU_HKSCS"/>
                <w:color w:val="auto"/>
                <w:highlight w:val="none"/>
              </w:rPr>
            </w:pPr>
            <w:r>
              <w:rPr>
                <w:rFonts w:hint="eastAsia" w:hAnsi="宋体" w:cs="MingLiU_HKSCS"/>
                <w:color w:val="auto"/>
                <w:highlight w:val="none"/>
              </w:rPr>
              <w:t>法定代表人身份证正反面复印件</w:t>
            </w:r>
          </w:p>
          <w:p>
            <w:pPr>
              <w:pStyle w:val="25"/>
              <w:spacing w:line="360" w:lineRule="auto"/>
              <w:jc w:val="center"/>
              <w:rPr>
                <w:rFonts w:hAnsi="宋体" w:cs="MingLiU_HKSCS"/>
                <w:color w:val="auto"/>
                <w:highlight w:val="none"/>
              </w:rPr>
            </w:pPr>
          </w:p>
        </w:tc>
      </w:tr>
    </w:tbl>
    <w:p>
      <w:pPr>
        <w:pStyle w:val="25"/>
        <w:wordWrap w:val="0"/>
        <w:spacing w:line="460" w:lineRule="exact"/>
        <w:ind w:firstLine="539" w:firstLineChars="257"/>
        <w:jc w:val="right"/>
        <w:rPr>
          <w:color w:val="auto"/>
          <w:highlight w:val="none"/>
        </w:rPr>
      </w:pPr>
    </w:p>
    <w:p>
      <w:pPr>
        <w:pStyle w:val="25"/>
        <w:spacing w:line="460" w:lineRule="exact"/>
        <w:ind w:firstLine="4004" w:firstLineChars="1907"/>
        <w:jc w:val="left"/>
        <w:rPr>
          <w:color w:val="auto"/>
          <w:highlight w:val="none"/>
        </w:rPr>
      </w:pPr>
      <w:r>
        <w:rPr>
          <w:rFonts w:hint="eastAsia"/>
          <w:color w:val="auto"/>
          <w:highlight w:val="none"/>
        </w:rPr>
        <w:t>供应商：（盖单位公章）</w:t>
      </w:r>
    </w:p>
    <w:p>
      <w:pPr>
        <w:pStyle w:val="25"/>
        <w:spacing w:line="460" w:lineRule="exact"/>
        <w:ind w:firstLine="539" w:firstLineChars="257"/>
        <w:rPr>
          <w:color w:val="auto"/>
          <w:highlight w:val="none"/>
        </w:rPr>
      </w:pPr>
    </w:p>
    <w:p>
      <w:pPr>
        <w:pStyle w:val="25"/>
        <w:spacing w:line="460" w:lineRule="exact"/>
        <w:ind w:firstLine="525" w:firstLineChars="250"/>
        <w:jc w:val="right"/>
        <w:rPr>
          <w:color w:val="auto"/>
          <w:highlight w:val="none"/>
        </w:rPr>
      </w:pPr>
      <w:r>
        <w:rPr>
          <w:rFonts w:hint="eastAsia"/>
          <w:color w:val="auto"/>
          <w:highlight w:val="none"/>
        </w:rPr>
        <w:t>日期：   年    月    日</w:t>
      </w:r>
    </w:p>
    <w:p>
      <w:pPr>
        <w:pStyle w:val="25"/>
        <w:spacing w:line="460" w:lineRule="exact"/>
        <w:rPr>
          <w:color w:val="auto"/>
          <w:highlight w:val="none"/>
        </w:rPr>
      </w:pPr>
    </w:p>
    <w:p>
      <w:pPr>
        <w:pStyle w:val="25"/>
        <w:spacing w:line="460" w:lineRule="exact"/>
        <w:rPr>
          <w:color w:val="auto"/>
          <w:highlight w:val="none"/>
        </w:rPr>
      </w:pPr>
    </w:p>
    <w:p>
      <w:pPr>
        <w:spacing w:line="300" w:lineRule="auto"/>
        <w:rPr>
          <w:rFonts w:ascii="宋体" w:hAnsi="宋体"/>
          <w:b/>
          <w:color w:val="auto"/>
          <w:szCs w:val="21"/>
          <w:highlight w:val="none"/>
        </w:rPr>
      </w:pPr>
      <w:r>
        <w:rPr>
          <w:rFonts w:hint="eastAsia"/>
          <w:color w:val="auto"/>
          <w:szCs w:val="21"/>
          <w:highlight w:val="none"/>
        </w:rPr>
        <w:t>附注：如法定代表人亲自参加开标会议的，须提供法定代表人身份证明书、法人代表身份证。</w:t>
      </w:r>
    </w:p>
    <w:p>
      <w:pPr>
        <w:spacing w:line="300" w:lineRule="auto"/>
        <w:rPr>
          <w:rFonts w:ascii="宋体" w:hAnsi="宋体"/>
          <w:b/>
          <w:color w:val="auto"/>
          <w:szCs w:val="21"/>
          <w:highlight w:val="none"/>
        </w:rPr>
      </w:pPr>
      <w:r>
        <w:rPr>
          <w:rFonts w:ascii="宋体" w:hAnsi="宋体"/>
          <w:b/>
          <w:color w:val="auto"/>
          <w:szCs w:val="21"/>
          <w:highlight w:val="none"/>
        </w:rPr>
        <w:br w:type="page"/>
      </w:r>
    </w:p>
    <w:p>
      <w:pPr>
        <w:adjustRightInd w:val="0"/>
        <w:snapToGrid w:val="0"/>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法定代表人授权书</w:t>
      </w:r>
    </w:p>
    <w:p>
      <w:pPr>
        <w:adjustRightInd w:val="0"/>
        <w:snapToGrid w:val="0"/>
        <w:spacing w:line="300" w:lineRule="auto"/>
        <w:rPr>
          <w:rFonts w:ascii="宋体" w:hAnsi="宋体"/>
          <w:color w:val="auto"/>
          <w:szCs w:val="21"/>
          <w:highlight w:val="none"/>
        </w:rPr>
      </w:pPr>
    </w:p>
    <w:p>
      <w:pPr>
        <w:snapToGrid w:val="0"/>
        <w:spacing w:beforeLines="50" w:after="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________(供应商名称)的法定代表人________(姓名、职务)授权________(供应商代表姓名、职务)为本公司的投标人代表，就</w:t>
      </w:r>
      <w:r>
        <w:rPr>
          <w:rFonts w:hint="eastAsia" w:ascii="宋体" w:hAnsi="宋体"/>
          <w:color w:val="auto"/>
          <w:szCs w:val="21"/>
          <w:highlight w:val="none"/>
          <w:u w:val="single"/>
        </w:rPr>
        <w:t>___  ___</w:t>
      </w:r>
      <w:r>
        <w:rPr>
          <w:rFonts w:hint="eastAsia" w:ascii="宋体" w:hAnsi="宋体"/>
          <w:color w:val="auto"/>
          <w:szCs w:val="21"/>
          <w:highlight w:val="none"/>
        </w:rPr>
        <w:t>(项目名称及编号)投标及相关事务代表本公司处理与之有关的一切事务。</w:t>
      </w:r>
    </w:p>
    <w:p>
      <w:pPr>
        <w:snapToGrid w:val="0"/>
        <w:spacing w:beforeLines="50" w:after="50" w:line="360" w:lineRule="auto"/>
        <w:jc w:val="left"/>
        <w:rPr>
          <w:rFonts w:ascii="宋体" w:hAnsi="宋体"/>
          <w:color w:val="auto"/>
          <w:szCs w:val="21"/>
          <w:highlight w:val="none"/>
        </w:rPr>
      </w:pPr>
    </w:p>
    <w:p>
      <w:pPr>
        <w:snapToGrid w:val="0"/>
        <w:spacing w:beforeLines="50" w:after="50" w:line="360" w:lineRule="auto"/>
        <w:jc w:val="left"/>
        <w:rPr>
          <w:rFonts w:ascii="宋体" w:hAnsi="宋体"/>
          <w:color w:val="auto"/>
          <w:szCs w:val="21"/>
          <w:highlight w:val="none"/>
        </w:rPr>
      </w:pPr>
      <w:r>
        <w:rPr>
          <w:rFonts w:hint="eastAsia" w:ascii="宋体" w:hAnsi="宋体"/>
          <w:color w:val="auto"/>
          <w:szCs w:val="21"/>
          <w:highlight w:val="none"/>
        </w:rPr>
        <w:t>委托期限：____________________。</w:t>
      </w:r>
    </w:p>
    <w:p>
      <w:pPr>
        <w:snapToGrid w:val="0"/>
        <w:spacing w:beforeLines="50" w:after="50" w:line="360" w:lineRule="auto"/>
        <w:jc w:val="left"/>
        <w:rPr>
          <w:rFonts w:ascii="宋体" w:hAnsi="宋体"/>
          <w:color w:val="auto"/>
          <w:szCs w:val="21"/>
          <w:highlight w:val="none"/>
        </w:rPr>
      </w:pPr>
      <w:r>
        <w:rPr>
          <w:rFonts w:hint="eastAsia" w:ascii="宋体" w:hAnsi="宋体"/>
          <w:color w:val="auto"/>
          <w:szCs w:val="21"/>
          <w:highlight w:val="none"/>
        </w:rPr>
        <w:t>代理人无转委托权。</w:t>
      </w:r>
    </w:p>
    <w:p>
      <w:pPr>
        <w:snapToGrid w:val="0"/>
        <w:spacing w:beforeLines="50" w:after="50" w:line="360" w:lineRule="auto"/>
        <w:jc w:val="left"/>
        <w:rPr>
          <w:rFonts w:ascii="宋体" w:hAnsi="宋体"/>
          <w:color w:val="auto"/>
          <w:szCs w:val="21"/>
          <w:highlight w:val="none"/>
        </w:rPr>
      </w:pPr>
      <w:r>
        <w:rPr>
          <w:rFonts w:hint="eastAsia" w:ascii="宋体" w:hAnsi="宋体"/>
          <w:color w:val="auto"/>
          <w:szCs w:val="21"/>
          <w:highlight w:val="none"/>
        </w:rPr>
        <w:t>本授权书于______年____月____日签字生效，特此声明。</w:t>
      </w:r>
    </w:p>
    <w:p>
      <w:pPr>
        <w:pStyle w:val="25"/>
        <w:spacing w:line="360" w:lineRule="auto"/>
        <w:rPr>
          <w:rFonts w:hAnsi="宋体" w:cs="MingLiU_HKSCS"/>
          <w:color w:val="auto"/>
          <w:highlight w:val="none"/>
        </w:rPr>
      </w:pPr>
    </w:p>
    <w:p>
      <w:pPr>
        <w:pStyle w:val="25"/>
        <w:spacing w:line="360" w:lineRule="auto"/>
        <w:rPr>
          <w:rFonts w:hAnsi="宋体" w:cs="MingLiU_HKSCS"/>
          <w:color w:val="auto"/>
          <w:highlight w:val="none"/>
        </w:rPr>
      </w:pPr>
      <w:r>
        <w:rPr>
          <w:rFonts w:hint="eastAsia" w:hAnsi="宋体" w:cs="MingLiU_HKSCS"/>
          <w:color w:val="auto"/>
          <w:highlight w:val="none"/>
        </w:rPr>
        <w:t>附：法定代表人身份证及被授权人有效身份证正反面复印件</w:t>
      </w:r>
    </w:p>
    <w:tbl>
      <w:tblPr>
        <w:tblStyle w:val="49"/>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89" w:type="dxa"/>
            <w:vAlign w:val="center"/>
          </w:tcPr>
          <w:p>
            <w:pPr>
              <w:pStyle w:val="25"/>
              <w:spacing w:line="360" w:lineRule="auto"/>
              <w:jc w:val="center"/>
              <w:rPr>
                <w:rFonts w:hAnsi="宋体" w:cs="MingLiU_HKSCS"/>
                <w:color w:val="auto"/>
                <w:highlight w:val="none"/>
              </w:rPr>
            </w:pPr>
          </w:p>
          <w:p>
            <w:pPr>
              <w:pStyle w:val="25"/>
              <w:spacing w:line="360" w:lineRule="auto"/>
              <w:jc w:val="center"/>
              <w:rPr>
                <w:rFonts w:hAnsi="宋体" w:cs="MingLiU_HKSCS"/>
                <w:color w:val="auto"/>
                <w:highlight w:val="none"/>
              </w:rPr>
            </w:pPr>
            <w:r>
              <w:rPr>
                <w:rFonts w:hint="eastAsia" w:hAnsi="宋体" w:cs="MingLiU_HKSCS"/>
                <w:color w:val="auto"/>
                <w:highlight w:val="none"/>
              </w:rPr>
              <w:t>法定代表人身份证正反面复印件</w:t>
            </w:r>
          </w:p>
          <w:p>
            <w:pPr>
              <w:pStyle w:val="25"/>
              <w:spacing w:line="360" w:lineRule="auto"/>
              <w:jc w:val="center"/>
              <w:rPr>
                <w:rFonts w:hAnsi="宋体" w:cs="MingLiU_HKSCS"/>
                <w:color w:val="auto"/>
                <w:highlight w:val="none"/>
              </w:rPr>
            </w:pPr>
          </w:p>
        </w:tc>
      </w:tr>
    </w:tbl>
    <w:p>
      <w:pPr>
        <w:pStyle w:val="25"/>
        <w:spacing w:line="360" w:lineRule="auto"/>
        <w:ind w:firstLine="420" w:firstLineChars="200"/>
        <w:rPr>
          <w:rFonts w:hAnsi="宋体" w:cs="MingLiU_HKSCS"/>
          <w:color w:val="auto"/>
          <w:highlight w:val="none"/>
        </w:rPr>
      </w:pPr>
    </w:p>
    <w:p>
      <w:pPr>
        <w:pStyle w:val="25"/>
        <w:spacing w:line="360" w:lineRule="auto"/>
        <w:rPr>
          <w:rFonts w:hAnsi="宋体" w:cs="MingLiU_HKSCS"/>
          <w:color w:val="auto"/>
          <w:highlight w:val="none"/>
        </w:rPr>
      </w:pPr>
    </w:p>
    <w:tbl>
      <w:tblPr>
        <w:tblStyle w:val="49"/>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89" w:type="dxa"/>
            <w:vAlign w:val="center"/>
          </w:tcPr>
          <w:p>
            <w:pPr>
              <w:pStyle w:val="25"/>
              <w:spacing w:line="360" w:lineRule="auto"/>
              <w:jc w:val="center"/>
              <w:rPr>
                <w:rFonts w:hAnsi="宋体" w:cs="MingLiU_HKSCS"/>
                <w:color w:val="auto"/>
                <w:highlight w:val="none"/>
              </w:rPr>
            </w:pPr>
          </w:p>
          <w:p>
            <w:pPr>
              <w:pStyle w:val="25"/>
              <w:spacing w:line="360" w:lineRule="auto"/>
              <w:jc w:val="center"/>
              <w:rPr>
                <w:rFonts w:hAnsi="宋体" w:cs="MingLiU_HKSCS"/>
                <w:color w:val="auto"/>
                <w:highlight w:val="none"/>
              </w:rPr>
            </w:pPr>
            <w:r>
              <w:rPr>
                <w:rFonts w:hint="eastAsia" w:hAnsi="宋体" w:cs="Times New Roman"/>
                <w:color w:val="auto"/>
                <w:highlight w:val="none"/>
              </w:rPr>
              <w:t>被</w:t>
            </w:r>
            <w:r>
              <w:rPr>
                <w:rFonts w:hint="eastAsia" w:hAnsi="宋体" w:cs="MingLiU_HKSCS"/>
                <w:color w:val="auto"/>
                <w:highlight w:val="none"/>
              </w:rPr>
              <w:t>授权代表身份证正反面复印件</w:t>
            </w:r>
          </w:p>
          <w:p>
            <w:pPr>
              <w:pStyle w:val="25"/>
              <w:spacing w:line="360" w:lineRule="auto"/>
              <w:jc w:val="center"/>
              <w:rPr>
                <w:rFonts w:hAnsi="宋体" w:cs="MingLiU_HKSCS"/>
                <w:color w:val="auto"/>
                <w:highlight w:val="none"/>
              </w:rPr>
            </w:pPr>
          </w:p>
        </w:tc>
      </w:tr>
    </w:tbl>
    <w:p>
      <w:pPr>
        <w:snapToGrid w:val="0"/>
        <w:spacing w:beforeLines="50" w:after="50"/>
        <w:rPr>
          <w:rFonts w:ascii="宋体" w:hAnsi="宋体"/>
          <w:color w:val="auto"/>
          <w:szCs w:val="21"/>
          <w:highlight w:val="none"/>
        </w:rPr>
      </w:pPr>
    </w:p>
    <w:p>
      <w:pPr>
        <w:snapToGrid w:val="0"/>
        <w:spacing w:beforeLines="50" w:after="50"/>
        <w:rPr>
          <w:rFonts w:ascii="宋体" w:hAnsi="宋体"/>
          <w:color w:val="auto"/>
          <w:szCs w:val="21"/>
          <w:highlight w:val="none"/>
          <w:u w:val="single"/>
        </w:rPr>
      </w:pPr>
      <w:r>
        <w:rPr>
          <w:rFonts w:hint="eastAsia" w:ascii="宋体" w:hAnsi="宋体"/>
          <w:color w:val="auto"/>
          <w:szCs w:val="21"/>
          <w:highlight w:val="none"/>
        </w:rPr>
        <w:t>被授权人签字：            法定代表人签字：</w:t>
      </w:r>
    </w:p>
    <w:p>
      <w:pPr>
        <w:snapToGrid w:val="0"/>
        <w:spacing w:beforeLines="50" w:after="50"/>
        <w:rPr>
          <w:rFonts w:ascii="宋体" w:hAnsi="宋体"/>
          <w:color w:val="auto"/>
          <w:szCs w:val="21"/>
          <w:highlight w:val="none"/>
        </w:rPr>
      </w:pPr>
      <w:r>
        <w:rPr>
          <w:rFonts w:hint="eastAsia" w:ascii="宋体" w:hAnsi="宋体"/>
          <w:color w:val="auto"/>
          <w:szCs w:val="21"/>
          <w:highlight w:val="none"/>
        </w:rPr>
        <w:t>所在部门职务：                      职务：</w:t>
      </w:r>
    </w:p>
    <w:p>
      <w:pPr>
        <w:snapToGrid w:val="0"/>
        <w:spacing w:beforeLines="50" w:after="50"/>
        <w:rPr>
          <w:rFonts w:ascii="宋体" w:hAnsi="宋体"/>
          <w:color w:val="auto"/>
          <w:szCs w:val="21"/>
          <w:highlight w:val="none"/>
        </w:rPr>
      </w:pPr>
      <w:r>
        <w:rPr>
          <w:rFonts w:hint="eastAsia" w:ascii="宋体" w:hAnsi="宋体"/>
          <w:color w:val="auto"/>
          <w:szCs w:val="21"/>
          <w:highlight w:val="none"/>
        </w:rPr>
        <w:t>被授权人身份证号码：</w:t>
      </w:r>
    </w:p>
    <w:p>
      <w:pPr>
        <w:snapToGrid w:val="0"/>
        <w:spacing w:beforeLines="50" w:after="50"/>
        <w:jc w:val="center"/>
        <w:rPr>
          <w:rFonts w:ascii="宋体" w:hAnsi="宋体"/>
          <w:color w:val="auto"/>
          <w:szCs w:val="21"/>
          <w:highlight w:val="none"/>
        </w:rPr>
      </w:pPr>
      <w:r>
        <w:rPr>
          <w:rFonts w:hint="eastAsia" w:ascii="宋体" w:hAnsi="宋体"/>
          <w:color w:val="auto"/>
          <w:szCs w:val="21"/>
          <w:highlight w:val="none"/>
        </w:rPr>
        <w:t xml:space="preserve">                                                供应商公章：</w:t>
      </w:r>
    </w:p>
    <w:p>
      <w:pPr>
        <w:pStyle w:val="25"/>
        <w:spacing w:line="460" w:lineRule="exact"/>
        <w:ind w:firstLine="525" w:firstLineChars="250"/>
        <w:jc w:val="right"/>
        <w:rPr>
          <w:color w:val="auto"/>
          <w:highlight w:val="none"/>
        </w:rPr>
      </w:pPr>
      <w:r>
        <w:rPr>
          <w:rFonts w:hint="eastAsia"/>
          <w:color w:val="auto"/>
          <w:highlight w:val="none"/>
        </w:rPr>
        <w:t>日期：   年    月    日</w:t>
      </w: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pStyle w:val="3"/>
        <w:jc w:val="center"/>
        <w:rPr>
          <w:color w:val="auto"/>
          <w:sz w:val="36"/>
          <w:szCs w:val="36"/>
          <w:highlight w:val="none"/>
        </w:rPr>
      </w:pPr>
      <w:r>
        <w:rPr>
          <w:rFonts w:hint="eastAsia"/>
          <w:color w:val="auto"/>
          <w:highlight w:val="none"/>
        </w:rPr>
        <w:t>第六章合同主要条款</w:t>
      </w:r>
    </w:p>
    <w:p>
      <w:pPr>
        <w:spacing w:line="360" w:lineRule="auto"/>
        <w:jc w:val="center"/>
        <w:rPr>
          <w:rFonts w:ascii="宋体" w:hAnsi="宋体"/>
          <w:b/>
          <w:bCs/>
          <w:color w:val="auto"/>
          <w:sz w:val="36"/>
          <w:szCs w:val="36"/>
          <w:highlight w:val="none"/>
        </w:rPr>
      </w:pPr>
      <w:r>
        <w:rPr>
          <w:rFonts w:hint="eastAsia"/>
          <w:b/>
          <w:color w:val="auto"/>
          <w:sz w:val="36"/>
          <w:szCs w:val="36"/>
          <w:highlight w:val="none"/>
        </w:rPr>
        <w:t>采购合同书</w:t>
      </w:r>
    </w:p>
    <w:p>
      <w:pPr>
        <w:pStyle w:val="25"/>
        <w:spacing w:line="360" w:lineRule="auto"/>
        <w:rPr>
          <w:rFonts w:hAnsi="宋体"/>
          <w:color w:val="auto"/>
          <w:highlight w:val="none"/>
        </w:rPr>
      </w:pPr>
    </w:p>
    <w:p>
      <w:pPr>
        <w:pStyle w:val="25"/>
        <w:spacing w:line="360" w:lineRule="auto"/>
        <w:rPr>
          <w:rFonts w:hAnsi="宋体"/>
          <w:color w:val="auto"/>
          <w:highlight w:val="none"/>
        </w:rPr>
      </w:pPr>
      <w:r>
        <w:rPr>
          <w:rFonts w:hint="eastAsia" w:hAnsi="宋体"/>
          <w:color w:val="auto"/>
          <w:highlight w:val="none"/>
        </w:rPr>
        <w:t>合同名称：</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合同编号：</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分标号（有分标时填写）：</w:t>
      </w:r>
      <w:r>
        <w:rPr>
          <w:rFonts w:hint="eastAsia" w:hAnsi="宋体"/>
          <w:color w:val="auto"/>
          <w:highlight w:val="none"/>
          <w:u w:val="single"/>
        </w:rPr>
        <w:t xml:space="preserve">             无              </w:t>
      </w:r>
    </w:p>
    <w:p>
      <w:pPr>
        <w:pStyle w:val="25"/>
        <w:spacing w:line="360" w:lineRule="auto"/>
        <w:rPr>
          <w:rFonts w:hAnsi="宋体"/>
          <w:color w:val="auto"/>
          <w:highlight w:val="none"/>
        </w:rPr>
      </w:pPr>
    </w:p>
    <w:p>
      <w:pPr>
        <w:pStyle w:val="25"/>
        <w:spacing w:line="360" w:lineRule="auto"/>
        <w:rPr>
          <w:rFonts w:hAnsi="宋体"/>
          <w:color w:val="auto"/>
          <w:highlight w:val="none"/>
        </w:rPr>
      </w:pPr>
      <w:r>
        <w:rPr>
          <w:rFonts w:hint="eastAsia" w:hAnsi="宋体"/>
          <w:color w:val="auto"/>
          <w:highlight w:val="none"/>
        </w:rPr>
        <w:t>甲方（买方）：</w:t>
      </w:r>
      <w:r>
        <w:rPr>
          <w:rFonts w:hint="eastAsia" w:hAnsi="宋体"/>
          <w:color w:val="auto"/>
          <w:highlight w:val="none"/>
          <w:u w:val="single"/>
        </w:rPr>
        <w:t xml:space="preserve">                                         </w:t>
      </w:r>
    </w:p>
    <w:p>
      <w:pPr>
        <w:pStyle w:val="25"/>
        <w:spacing w:line="360" w:lineRule="auto"/>
        <w:rPr>
          <w:rFonts w:hAnsi="宋体"/>
          <w:color w:val="auto"/>
          <w:highlight w:val="none"/>
        </w:rPr>
      </w:pPr>
      <w:r>
        <w:rPr>
          <w:rFonts w:hint="eastAsia" w:hAnsi="宋体"/>
          <w:color w:val="auto"/>
          <w:highlight w:val="none"/>
        </w:rPr>
        <w:t>乙方（卖方）：</w:t>
      </w:r>
      <w:r>
        <w:rPr>
          <w:rFonts w:hint="eastAsia" w:hAnsi="宋体"/>
          <w:color w:val="auto"/>
          <w:highlight w:val="none"/>
          <w:u w:val="single"/>
        </w:rPr>
        <w:t xml:space="preserve">                                         </w:t>
      </w:r>
    </w:p>
    <w:p>
      <w:pPr>
        <w:pStyle w:val="25"/>
        <w:spacing w:line="360" w:lineRule="auto"/>
        <w:rPr>
          <w:rFonts w:hAnsi="宋体"/>
          <w:color w:val="auto"/>
          <w:highlight w:val="none"/>
        </w:rPr>
      </w:pPr>
    </w:p>
    <w:p>
      <w:pPr>
        <w:pStyle w:val="25"/>
        <w:spacing w:line="360" w:lineRule="auto"/>
        <w:ind w:firstLine="420" w:firstLineChars="200"/>
        <w:rPr>
          <w:rFonts w:hAnsi="宋体"/>
          <w:b/>
          <w:color w:val="auto"/>
          <w:highlight w:val="none"/>
        </w:rPr>
      </w:pPr>
      <w:r>
        <w:rPr>
          <w:rFonts w:hint="eastAsia" w:hAnsi="宋体"/>
          <w:color w:val="auto"/>
          <w:highlight w:val="none"/>
        </w:rPr>
        <w:t>根据</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日采购结果，甲方接受乙方对本项目的投标，甲、乙双方同意签署本合同（以下简称合同）。</w:t>
      </w:r>
    </w:p>
    <w:p>
      <w:pPr>
        <w:pStyle w:val="25"/>
        <w:spacing w:line="360" w:lineRule="auto"/>
        <w:ind w:firstLine="422" w:firstLineChars="200"/>
        <w:rPr>
          <w:rFonts w:hAnsi="宋体"/>
          <w:b/>
          <w:bCs/>
          <w:color w:val="auto"/>
          <w:highlight w:val="none"/>
        </w:rPr>
      </w:pPr>
      <w:r>
        <w:rPr>
          <w:rFonts w:hint="eastAsia" w:hAnsi="宋体"/>
          <w:b/>
          <w:bCs/>
          <w:color w:val="auto"/>
          <w:highlight w:val="none"/>
        </w:rPr>
        <w:t>1.  采购内容</w:t>
      </w:r>
    </w:p>
    <w:p>
      <w:pPr>
        <w:pStyle w:val="25"/>
        <w:tabs>
          <w:tab w:val="left" w:pos="5220"/>
        </w:tabs>
        <w:spacing w:line="360" w:lineRule="auto"/>
        <w:ind w:firstLine="420" w:firstLineChars="200"/>
        <w:rPr>
          <w:rFonts w:hAnsi="宋体"/>
          <w:color w:val="auto"/>
          <w:highlight w:val="none"/>
          <w:u w:val="single"/>
        </w:rPr>
      </w:pPr>
      <w:r>
        <w:rPr>
          <w:rFonts w:hint="eastAsia" w:hAnsi="宋体"/>
          <w:color w:val="auto"/>
          <w:highlight w:val="none"/>
        </w:rPr>
        <w:t>1.1 服务名称：</w:t>
      </w:r>
      <w:r>
        <w:rPr>
          <w:rFonts w:hint="eastAsia" w:hAnsi="宋体"/>
          <w:color w:val="auto"/>
          <w:highlight w:val="none"/>
          <w:u w:val="single"/>
        </w:rPr>
        <w:t>详见合同附件中报价表</w:t>
      </w:r>
    </w:p>
    <w:p>
      <w:pPr>
        <w:pStyle w:val="25"/>
        <w:tabs>
          <w:tab w:val="left" w:pos="5220"/>
        </w:tabs>
        <w:spacing w:line="360" w:lineRule="auto"/>
        <w:ind w:firstLine="420" w:firstLineChars="200"/>
        <w:rPr>
          <w:rFonts w:hAnsi="宋体"/>
          <w:color w:val="auto"/>
          <w:highlight w:val="none"/>
        </w:rPr>
      </w:pPr>
      <w:r>
        <w:rPr>
          <w:rFonts w:hint="eastAsia" w:hAnsi="宋体"/>
          <w:color w:val="auto"/>
          <w:highlight w:val="none"/>
        </w:rPr>
        <w:t>1.2 数量：</w:t>
      </w:r>
      <w:r>
        <w:rPr>
          <w:rFonts w:hint="eastAsia" w:hAnsi="宋体"/>
          <w:color w:val="auto"/>
          <w:highlight w:val="none"/>
          <w:u w:val="single"/>
        </w:rPr>
        <w:t>详见合同附件中报价表</w:t>
      </w:r>
    </w:p>
    <w:p>
      <w:pPr>
        <w:pStyle w:val="25"/>
        <w:tabs>
          <w:tab w:val="left" w:pos="5220"/>
        </w:tabs>
        <w:spacing w:line="360" w:lineRule="auto"/>
        <w:ind w:firstLine="420" w:firstLineChars="200"/>
        <w:rPr>
          <w:rFonts w:hAnsi="宋体"/>
          <w:color w:val="auto"/>
          <w:highlight w:val="none"/>
        </w:rPr>
      </w:pPr>
      <w:r>
        <w:rPr>
          <w:rFonts w:hint="eastAsia" w:hAnsi="宋体"/>
          <w:color w:val="auto"/>
          <w:highlight w:val="none"/>
        </w:rPr>
        <w:t xml:space="preserve">1.2 </w:t>
      </w:r>
      <w:r>
        <w:rPr>
          <w:rFonts w:hint="eastAsia"/>
          <w:color w:val="auto"/>
          <w:highlight w:val="none"/>
        </w:rPr>
        <w:t>服务内容及要求</w:t>
      </w:r>
      <w:r>
        <w:rPr>
          <w:rFonts w:hint="eastAsia" w:ascii="Times New Roman" w:hAnsi="Times New Roman"/>
          <w:color w:val="auto"/>
          <w:highlight w:val="none"/>
        </w:rPr>
        <w:t>：</w:t>
      </w:r>
      <w:r>
        <w:rPr>
          <w:rFonts w:hint="eastAsia" w:hAnsi="宋体"/>
          <w:color w:val="auto"/>
          <w:highlight w:val="none"/>
          <w:u w:val="single"/>
        </w:rPr>
        <w:t>详见合同附件中投标服务技术资料表</w:t>
      </w:r>
    </w:p>
    <w:p>
      <w:pPr>
        <w:pStyle w:val="25"/>
        <w:tabs>
          <w:tab w:val="left" w:pos="5145"/>
        </w:tabs>
        <w:spacing w:line="360" w:lineRule="auto"/>
        <w:ind w:firstLine="422" w:firstLineChars="200"/>
        <w:rPr>
          <w:rFonts w:hAnsi="宋体"/>
          <w:b/>
          <w:bCs/>
          <w:color w:val="auto"/>
          <w:highlight w:val="none"/>
        </w:rPr>
      </w:pPr>
      <w:r>
        <w:rPr>
          <w:rFonts w:hint="eastAsia" w:hAnsi="宋体"/>
          <w:b/>
          <w:bCs/>
          <w:color w:val="auto"/>
          <w:highlight w:val="none"/>
        </w:rPr>
        <w:t>2.  合同金额</w:t>
      </w:r>
    </w:p>
    <w:p>
      <w:pPr>
        <w:pStyle w:val="25"/>
        <w:spacing w:line="360" w:lineRule="auto"/>
        <w:ind w:firstLine="411" w:firstLineChars="196"/>
        <w:rPr>
          <w:rFonts w:hAnsi="宋体"/>
          <w:b/>
          <w:bCs/>
          <w:color w:val="auto"/>
          <w:highlight w:val="none"/>
        </w:rPr>
      </w:pPr>
      <w:r>
        <w:rPr>
          <w:rFonts w:hint="eastAsia" w:hAnsi="宋体"/>
          <w:color w:val="auto"/>
          <w:highlight w:val="none"/>
        </w:rPr>
        <w:t>2.1 本合同金额为（大写）人民币</w:t>
      </w:r>
      <w:r>
        <w:rPr>
          <w:rFonts w:hint="eastAsia" w:hAnsi="宋体" w:cs="宋体"/>
          <w:color w:val="auto"/>
          <w:highlight w:val="none"/>
          <w:u w:val="single"/>
        </w:rPr>
        <w:t xml:space="preserve">        </w:t>
      </w:r>
      <w:r>
        <w:rPr>
          <w:rFonts w:hint="eastAsia" w:hAnsi="宋体" w:cs="宋体"/>
          <w:color w:val="auto"/>
          <w:highlight w:val="none"/>
        </w:rPr>
        <w:t>元整(￥</w:t>
      </w:r>
      <w:r>
        <w:rPr>
          <w:rFonts w:hint="eastAsia" w:hAnsi="宋体" w:cs="宋体"/>
          <w:color w:val="auto"/>
          <w:highlight w:val="none"/>
          <w:u w:val="single"/>
        </w:rPr>
        <w:t xml:space="preserve">      </w:t>
      </w:r>
      <w:r>
        <w:rPr>
          <w:rFonts w:hint="eastAsia" w:hAnsi="宋体" w:cs="宋体"/>
          <w:color w:val="auto"/>
          <w:highlight w:val="none"/>
        </w:rPr>
        <w:t>元)</w:t>
      </w:r>
      <w:r>
        <w:rPr>
          <w:rFonts w:hint="eastAsia" w:hAnsi="宋体"/>
          <w:color w:val="auto"/>
          <w:highlight w:val="none"/>
        </w:rPr>
        <w:t>（详见报价表）结算以实际为主，且结算金额不能超过合同总金额。</w:t>
      </w:r>
    </w:p>
    <w:p>
      <w:pPr>
        <w:pStyle w:val="25"/>
        <w:tabs>
          <w:tab w:val="left" w:pos="5940"/>
        </w:tabs>
        <w:spacing w:line="360" w:lineRule="auto"/>
        <w:ind w:firstLine="422" w:firstLineChars="200"/>
        <w:rPr>
          <w:rFonts w:hAnsi="宋体"/>
          <w:b/>
          <w:bCs/>
          <w:color w:val="auto"/>
          <w:highlight w:val="none"/>
        </w:rPr>
      </w:pPr>
      <w:r>
        <w:rPr>
          <w:rFonts w:hint="eastAsia" w:hAnsi="宋体"/>
          <w:b/>
          <w:bCs/>
          <w:color w:val="auto"/>
          <w:highlight w:val="none"/>
        </w:rPr>
        <w:t>3.  提交服务成果时间和地点</w:t>
      </w:r>
    </w:p>
    <w:p>
      <w:pPr>
        <w:pStyle w:val="25"/>
        <w:tabs>
          <w:tab w:val="left" w:pos="5250"/>
          <w:tab w:val="left" w:pos="5940"/>
        </w:tabs>
        <w:spacing w:line="360" w:lineRule="auto"/>
        <w:ind w:firstLine="411" w:firstLineChars="196"/>
        <w:rPr>
          <w:rFonts w:hAnsi="宋体"/>
          <w:b/>
          <w:bCs/>
          <w:color w:val="auto"/>
          <w:highlight w:val="none"/>
        </w:rPr>
      </w:pPr>
      <w:r>
        <w:rPr>
          <w:rFonts w:hint="eastAsia" w:hAnsi="宋体"/>
          <w:bCs/>
          <w:color w:val="auto"/>
          <w:highlight w:val="none"/>
        </w:rPr>
        <w:t xml:space="preserve">3.1 </w:t>
      </w:r>
      <w:r>
        <w:rPr>
          <w:rFonts w:hint="eastAsia"/>
          <w:bCs/>
          <w:color w:val="auto"/>
          <w:highlight w:val="none"/>
        </w:rPr>
        <w:t>提交服务成果时间</w:t>
      </w:r>
      <w:r>
        <w:rPr>
          <w:rFonts w:hint="eastAsia" w:hAnsi="宋体"/>
          <w:bCs/>
          <w:color w:val="auto"/>
          <w:highlight w:val="none"/>
        </w:rPr>
        <w:t>：</w:t>
      </w:r>
      <w:r>
        <w:rPr>
          <w:rFonts w:hint="eastAsia" w:hAnsi="宋体"/>
          <w:color w:val="auto"/>
          <w:highlight w:val="none"/>
          <w:u w:val="single"/>
        </w:rPr>
        <w:t xml:space="preserve">                                             </w:t>
      </w:r>
    </w:p>
    <w:p>
      <w:pPr>
        <w:pStyle w:val="25"/>
        <w:tabs>
          <w:tab w:val="left" w:pos="5940"/>
        </w:tabs>
        <w:spacing w:line="360" w:lineRule="auto"/>
        <w:ind w:firstLine="411" w:firstLineChars="196"/>
        <w:rPr>
          <w:rFonts w:hAnsi="宋体"/>
          <w:b/>
          <w:bCs/>
          <w:color w:val="auto"/>
          <w:highlight w:val="none"/>
        </w:rPr>
      </w:pPr>
      <w:r>
        <w:rPr>
          <w:rFonts w:hint="eastAsia" w:hAnsi="宋体"/>
          <w:bCs/>
          <w:color w:val="auto"/>
          <w:highlight w:val="none"/>
        </w:rPr>
        <w:t xml:space="preserve">3.2 </w:t>
      </w:r>
      <w:r>
        <w:rPr>
          <w:rFonts w:hint="eastAsia"/>
          <w:bCs/>
          <w:color w:val="auto"/>
          <w:highlight w:val="none"/>
        </w:rPr>
        <w:t>提交服务成果</w:t>
      </w:r>
      <w:r>
        <w:rPr>
          <w:rFonts w:hint="eastAsia" w:hAnsi="宋体"/>
          <w:bCs/>
          <w:color w:val="auto"/>
          <w:highlight w:val="none"/>
        </w:rPr>
        <w:t>地点：</w:t>
      </w:r>
      <w:r>
        <w:rPr>
          <w:rFonts w:hint="eastAsia" w:hAnsi="宋体"/>
          <w:color w:val="auto"/>
          <w:highlight w:val="none"/>
          <w:u w:val="single"/>
        </w:rPr>
        <w:t xml:space="preserve">                    </w:t>
      </w:r>
      <w:r>
        <w:rPr>
          <w:rFonts w:hint="eastAsia" w:hAnsi="宋体" w:cs="宋体"/>
          <w:color w:val="auto"/>
          <w:highlight w:val="none"/>
          <w:u w:val="single"/>
        </w:rPr>
        <w:t xml:space="preserve">                      </w:t>
      </w:r>
      <w:r>
        <w:rPr>
          <w:rFonts w:hint="eastAsia" w:hAnsi="宋体"/>
          <w:color w:val="auto"/>
          <w:highlight w:val="none"/>
          <w:u w:val="single"/>
        </w:rPr>
        <w:t xml:space="preserve">   </w:t>
      </w:r>
    </w:p>
    <w:p>
      <w:pPr>
        <w:pStyle w:val="25"/>
        <w:tabs>
          <w:tab w:val="left" w:pos="5940"/>
        </w:tabs>
        <w:spacing w:line="360" w:lineRule="auto"/>
        <w:ind w:firstLine="411" w:firstLineChars="196"/>
        <w:rPr>
          <w:rFonts w:hAnsi="宋体"/>
          <w:b/>
          <w:bCs/>
          <w:color w:val="auto"/>
          <w:highlight w:val="none"/>
        </w:rPr>
      </w:pPr>
      <w:r>
        <w:rPr>
          <w:rFonts w:hint="eastAsia" w:hAnsi="宋体"/>
          <w:bCs/>
          <w:color w:val="auto"/>
          <w:highlight w:val="none"/>
        </w:rPr>
        <w:t xml:space="preserve">3.3 </w:t>
      </w:r>
      <w:r>
        <w:rPr>
          <w:rFonts w:hint="eastAsia" w:hAnsi="宋体"/>
          <w:color w:val="auto"/>
          <w:highlight w:val="none"/>
        </w:rPr>
        <w:t>乙方必须按投标文件承诺的服务响应条款向甲方提供服务。</w:t>
      </w:r>
    </w:p>
    <w:p>
      <w:pPr>
        <w:pStyle w:val="25"/>
        <w:spacing w:line="360" w:lineRule="auto"/>
        <w:ind w:left="420" w:leftChars="200" w:firstLine="63" w:firstLineChars="30"/>
        <w:rPr>
          <w:rFonts w:hAnsi="宋体"/>
          <w:b/>
          <w:color w:val="auto"/>
          <w:highlight w:val="none"/>
        </w:rPr>
      </w:pPr>
      <w:r>
        <w:rPr>
          <w:rFonts w:hint="eastAsia" w:hAnsi="宋体"/>
          <w:b/>
          <w:bCs/>
          <w:color w:val="auto"/>
          <w:highlight w:val="none"/>
        </w:rPr>
        <w:t>4.  履约保证金</w:t>
      </w:r>
    </w:p>
    <w:p>
      <w:pPr>
        <w:pStyle w:val="25"/>
        <w:tabs>
          <w:tab w:val="left" w:pos="5145"/>
        </w:tabs>
        <w:spacing w:line="360" w:lineRule="auto"/>
        <w:ind w:firstLine="420" w:firstLineChars="200"/>
        <w:rPr>
          <w:rFonts w:hAnsi="宋体"/>
          <w:b/>
          <w:color w:val="auto"/>
          <w:highlight w:val="none"/>
        </w:rPr>
      </w:pPr>
      <w:r>
        <w:rPr>
          <w:rFonts w:hint="eastAsia" w:hAnsi="宋体"/>
          <w:color w:val="auto"/>
          <w:highlight w:val="none"/>
        </w:rPr>
        <w:t>4.1 乙方交纳（大写）人民币</w:t>
      </w:r>
      <w:r>
        <w:rPr>
          <w:rFonts w:hint="eastAsia" w:hAnsi="宋体"/>
          <w:color w:val="auto"/>
          <w:highlight w:val="none"/>
          <w:u w:val="single"/>
        </w:rPr>
        <w:t xml:space="preserve">                    </w:t>
      </w:r>
      <w:r>
        <w:rPr>
          <w:rFonts w:hint="eastAsia" w:hAnsi="宋体"/>
          <w:color w:val="auto"/>
          <w:highlight w:val="none"/>
        </w:rPr>
        <w:t>（￥</w:t>
      </w:r>
      <w:r>
        <w:rPr>
          <w:rFonts w:hint="eastAsia" w:hAnsi="宋体"/>
          <w:color w:val="auto"/>
          <w:highlight w:val="none"/>
          <w:u w:val="single"/>
        </w:rPr>
        <w:t xml:space="preserve">　     </w:t>
      </w:r>
      <w:r>
        <w:rPr>
          <w:rFonts w:hint="eastAsia" w:hAnsi="宋体"/>
          <w:color w:val="auto"/>
          <w:highlight w:val="none"/>
        </w:rPr>
        <w:t>元）作为本合同的履约保证金。</w:t>
      </w:r>
    </w:p>
    <w:p>
      <w:pPr>
        <w:pStyle w:val="25"/>
        <w:spacing w:line="360" w:lineRule="auto"/>
        <w:ind w:firstLine="420" w:firstLineChars="200"/>
        <w:rPr>
          <w:rFonts w:hAnsi="宋体"/>
          <w:color w:val="auto"/>
          <w:highlight w:val="none"/>
        </w:rPr>
      </w:pPr>
      <w:r>
        <w:rPr>
          <w:rFonts w:hint="eastAsia" w:hAnsi="宋体"/>
          <w:color w:val="auto"/>
          <w:highlight w:val="none"/>
        </w:rPr>
        <w:t>4.2 履约保证金作为违约金的一部分用于补偿甲方因乙方不能完成其合同义务而蒙受的损失。</w:t>
      </w:r>
    </w:p>
    <w:p>
      <w:pPr>
        <w:pStyle w:val="25"/>
        <w:spacing w:line="360" w:lineRule="auto"/>
        <w:ind w:left="420" w:leftChars="200" w:firstLine="61" w:firstLineChars="29"/>
        <w:rPr>
          <w:rFonts w:hAnsi="宋体"/>
          <w:b/>
          <w:color w:val="auto"/>
          <w:highlight w:val="none"/>
        </w:rPr>
      </w:pPr>
      <w:r>
        <w:rPr>
          <w:rFonts w:hint="eastAsia" w:hAnsi="宋体"/>
          <w:b/>
          <w:bCs/>
          <w:color w:val="auto"/>
          <w:highlight w:val="none"/>
        </w:rPr>
        <w:t>5.  产权</w:t>
      </w:r>
    </w:p>
    <w:p>
      <w:pPr>
        <w:pStyle w:val="25"/>
        <w:spacing w:line="360" w:lineRule="auto"/>
        <w:ind w:firstLine="420" w:firstLineChars="200"/>
        <w:rPr>
          <w:rFonts w:hAnsi="宋体"/>
          <w:b/>
          <w:color w:val="auto"/>
          <w:highlight w:val="none"/>
        </w:rPr>
      </w:pPr>
      <w:r>
        <w:rPr>
          <w:rFonts w:hint="eastAsia" w:hAnsi="宋体"/>
          <w:color w:val="auto"/>
          <w:highlight w:val="none"/>
        </w:rPr>
        <w:t xml:space="preserve">5.1 </w:t>
      </w:r>
      <w:r>
        <w:rPr>
          <w:rFonts w:hint="eastAsia" w:ascii="Times New Roman" w:hAnsi="Times New Roman"/>
          <w:color w:val="auto"/>
          <w:highlight w:val="none"/>
        </w:rPr>
        <w:t>乙方应保证所提供的服务或其任何一部分均不会侵犯任何第三方的专利权、商标权或著作权</w:t>
      </w:r>
      <w:r>
        <w:rPr>
          <w:rFonts w:hint="eastAsia" w:hAnsi="宋体"/>
          <w:bCs/>
          <w:color w:val="auto"/>
          <w:highlight w:val="none"/>
        </w:rPr>
        <w:t>。</w:t>
      </w:r>
    </w:p>
    <w:p>
      <w:pPr>
        <w:pStyle w:val="25"/>
        <w:spacing w:line="360" w:lineRule="auto"/>
        <w:ind w:firstLine="420" w:firstLineChars="200"/>
        <w:rPr>
          <w:rFonts w:hAnsi="宋体"/>
          <w:b/>
          <w:color w:val="auto"/>
          <w:highlight w:val="none"/>
        </w:rPr>
      </w:pPr>
      <w:r>
        <w:rPr>
          <w:rFonts w:hint="eastAsia" w:hAnsi="宋体"/>
          <w:color w:val="auto"/>
          <w:highlight w:val="none"/>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pStyle w:val="25"/>
        <w:spacing w:line="360" w:lineRule="auto"/>
        <w:ind w:firstLine="422" w:firstLineChars="200"/>
        <w:rPr>
          <w:rFonts w:hAnsi="宋体"/>
          <w:b/>
          <w:color w:val="auto"/>
          <w:highlight w:val="none"/>
        </w:rPr>
      </w:pPr>
      <w:r>
        <w:rPr>
          <w:rFonts w:hint="eastAsia" w:hAnsi="宋体"/>
          <w:b/>
          <w:bCs/>
          <w:color w:val="auto"/>
          <w:highlight w:val="none"/>
        </w:rPr>
        <w:t>6.  技术资料</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6.1 甲方应向乙方提供提交服务成果所必需的有关数据、资料等。</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5"/>
        <w:spacing w:line="360" w:lineRule="auto"/>
        <w:ind w:firstLine="422" w:firstLineChars="200"/>
        <w:rPr>
          <w:rFonts w:hAnsi="宋体"/>
          <w:b/>
          <w:bCs/>
          <w:color w:val="auto"/>
          <w:highlight w:val="none"/>
        </w:rPr>
      </w:pPr>
      <w:r>
        <w:rPr>
          <w:rFonts w:hint="eastAsia" w:hAnsi="宋体"/>
          <w:b/>
          <w:bCs/>
          <w:color w:val="auto"/>
          <w:highlight w:val="none"/>
        </w:rPr>
        <w:t>7.  验收</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7.1 乙方应对提交的服务成果作出全面检查和整理，并列出清单，作为甲方验收和使用的技术条件依据，清单应随提交的服务成果交给甲方。</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7.2 乙方在指定地点提交服务成果后，甲方应在5个工作日内依据招标文件、乙方的投标文件等组织验收，验收完毕后作出书面验收报告。验收时乙方必须在现场。</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7.3 对复杂的服务，甲方可请国家认可的专业机构参与验收，并由其出具验收报告，相关费用由甲方承担。</w:t>
      </w:r>
    </w:p>
    <w:p>
      <w:pPr>
        <w:pStyle w:val="25"/>
        <w:spacing w:line="360" w:lineRule="auto"/>
        <w:ind w:firstLine="422" w:firstLineChars="200"/>
        <w:rPr>
          <w:rFonts w:hAnsi="宋体"/>
          <w:b/>
          <w:bCs/>
          <w:color w:val="auto"/>
          <w:highlight w:val="none"/>
        </w:rPr>
      </w:pPr>
      <w:r>
        <w:rPr>
          <w:rFonts w:hint="eastAsia" w:hAnsi="宋体"/>
          <w:b/>
          <w:bCs/>
          <w:color w:val="auto"/>
          <w:highlight w:val="none"/>
        </w:rPr>
        <w:t>8.  合同款支付</w:t>
      </w:r>
    </w:p>
    <w:p>
      <w:pPr>
        <w:tabs>
          <w:tab w:val="left" w:pos="3490"/>
          <w:tab w:val="left" w:pos="3670"/>
          <w:tab w:val="left" w:pos="3895"/>
        </w:tabs>
        <w:spacing w:line="360" w:lineRule="auto"/>
        <w:ind w:firstLine="420" w:firstLineChars="200"/>
        <w:rPr>
          <w:rFonts w:hAnsi="宋体"/>
          <w:bCs/>
          <w:color w:val="auto"/>
          <w:szCs w:val="21"/>
          <w:highlight w:val="none"/>
          <w:u w:val="single"/>
        </w:rPr>
      </w:pPr>
      <w:r>
        <w:rPr>
          <w:rFonts w:hint="eastAsia" w:hAnsi="宋体"/>
          <w:bCs/>
          <w:color w:val="auto"/>
          <w:szCs w:val="21"/>
          <w:highlight w:val="none"/>
        </w:rPr>
        <w:t xml:space="preserve"> 付款方式：</w:t>
      </w:r>
      <w:r>
        <w:rPr>
          <w:rFonts w:hint="eastAsia" w:hAnsi="宋体"/>
          <w:bCs/>
          <w:color w:val="auto"/>
          <w:szCs w:val="21"/>
          <w:highlight w:val="none"/>
          <w:u w:val="single"/>
        </w:rPr>
        <w:t xml:space="preserve">                                                            </w:t>
      </w:r>
      <w:r>
        <w:rPr>
          <w:rFonts w:hAnsi="宋体"/>
          <w:bCs/>
          <w:color w:val="auto"/>
          <w:szCs w:val="21"/>
          <w:highlight w:val="none"/>
          <w:u w:val="single"/>
        </w:rPr>
        <w:t xml:space="preserve"> </w:t>
      </w:r>
    </w:p>
    <w:p>
      <w:pPr>
        <w:pStyle w:val="25"/>
        <w:spacing w:line="360" w:lineRule="auto"/>
        <w:ind w:firstLine="422" w:firstLineChars="200"/>
        <w:rPr>
          <w:rFonts w:hAnsi="宋体"/>
          <w:b/>
          <w:bCs/>
          <w:color w:val="auto"/>
          <w:highlight w:val="none"/>
        </w:rPr>
      </w:pPr>
      <w:r>
        <w:rPr>
          <w:rFonts w:hint="eastAsia" w:hAnsi="宋体"/>
          <w:b/>
          <w:bCs/>
          <w:color w:val="auto"/>
          <w:highlight w:val="none"/>
        </w:rPr>
        <w:t>9.  售后服务要求</w:t>
      </w:r>
    </w:p>
    <w:p>
      <w:pPr>
        <w:pStyle w:val="25"/>
        <w:spacing w:line="360" w:lineRule="auto"/>
        <w:ind w:firstLine="420" w:firstLineChars="200"/>
        <w:rPr>
          <w:rFonts w:hAnsi="宋体"/>
          <w:color w:val="auto"/>
          <w:highlight w:val="none"/>
        </w:rPr>
      </w:pPr>
      <w:r>
        <w:rPr>
          <w:rFonts w:hint="eastAsia" w:hAnsi="宋体"/>
          <w:color w:val="auto"/>
          <w:highlight w:val="none"/>
        </w:rPr>
        <w:t>9.1 乙方提供服务的质量保证期为：</w:t>
      </w:r>
      <w:r>
        <w:rPr>
          <w:rFonts w:hint="eastAsia" w:hAnsi="宋体"/>
          <w:color w:val="auto"/>
          <w:highlight w:val="none"/>
          <w:u w:val="single"/>
        </w:rPr>
        <w:t xml:space="preserve">　                </w:t>
      </w:r>
      <w:r>
        <w:rPr>
          <w:rFonts w:hint="eastAsia" w:hAnsi="宋体"/>
          <w:color w:val="auto"/>
          <w:highlight w:val="none"/>
        </w:rPr>
        <w:t>（自提交服务验收合格之日起计）</w:t>
      </w:r>
    </w:p>
    <w:p>
      <w:pPr>
        <w:pStyle w:val="25"/>
        <w:spacing w:line="360" w:lineRule="auto"/>
        <w:ind w:firstLine="420" w:firstLineChars="200"/>
        <w:rPr>
          <w:rFonts w:hAnsi="宋体"/>
          <w:color w:val="auto"/>
          <w:highlight w:val="none"/>
        </w:rPr>
      </w:pPr>
      <w:r>
        <w:rPr>
          <w:rFonts w:hint="eastAsia" w:hAnsi="宋体"/>
          <w:color w:val="auto"/>
          <w:highlight w:val="none"/>
        </w:rPr>
        <w:t>9.2 质量保证金为（大写）人民币</w:t>
      </w:r>
      <w:r>
        <w:rPr>
          <w:rFonts w:hint="eastAsia" w:hAnsi="宋体"/>
          <w:color w:val="auto"/>
          <w:highlight w:val="none"/>
          <w:u w:val="single"/>
        </w:rPr>
        <w:t xml:space="preserve">                    整</w:t>
      </w:r>
      <w:r>
        <w:rPr>
          <w:rFonts w:hint="eastAsia" w:hAnsi="宋体"/>
          <w:color w:val="auto"/>
          <w:highlight w:val="none"/>
        </w:rPr>
        <w:t>（￥</w:t>
      </w:r>
      <w:r>
        <w:rPr>
          <w:rFonts w:hint="eastAsia" w:hAnsi="宋体"/>
          <w:color w:val="auto"/>
          <w:highlight w:val="none"/>
          <w:u w:val="single"/>
        </w:rPr>
        <w:t xml:space="preserve">　    </w:t>
      </w:r>
      <w:r>
        <w:rPr>
          <w:rFonts w:hint="eastAsia" w:hAnsi="宋体"/>
          <w:color w:val="auto"/>
          <w:highlight w:val="none"/>
        </w:rPr>
        <w:t>元）（履约保证金在中标供应商按合同约定所提交的服务验收合格后自行转为质保金。）</w:t>
      </w:r>
    </w:p>
    <w:p>
      <w:pPr>
        <w:pStyle w:val="25"/>
        <w:spacing w:line="360" w:lineRule="auto"/>
        <w:ind w:firstLine="420" w:firstLineChars="200"/>
        <w:rPr>
          <w:rFonts w:hAnsi="宋体"/>
          <w:color w:val="auto"/>
          <w:highlight w:val="none"/>
        </w:rPr>
      </w:pPr>
      <w:r>
        <w:rPr>
          <w:rFonts w:hint="eastAsia" w:hAnsi="宋体"/>
          <w:color w:val="auto"/>
          <w:highlight w:val="none"/>
        </w:rPr>
        <w:t>9.3 履约保证金自合同生效之日起转为质量保证金。在质保期内乙方提供的服务质量符合合同约定，经验收合格，质保期满后乙方向甲方办理退付手续，甲方将在收到完整且合格的退付申请资料后五个工作日内以转账或电汇方式无息退还乙方。</w:t>
      </w:r>
    </w:p>
    <w:p>
      <w:pPr>
        <w:pStyle w:val="25"/>
        <w:spacing w:line="360" w:lineRule="auto"/>
        <w:ind w:firstLine="420" w:firstLineChars="200"/>
        <w:rPr>
          <w:rFonts w:hAnsi="宋体"/>
          <w:color w:val="auto"/>
          <w:highlight w:val="none"/>
        </w:rPr>
      </w:pPr>
      <w:r>
        <w:rPr>
          <w:rFonts w:hint="eastAsia" w:hAnsi="宋体"/>
          <w:color w:val="auto"/>
          <w:highlight w:val="none"/>
        </w:rPr>
        <w:t>9.4 在本合同第9.1项约定的质量保证期内，乙方应对服务出现的问题负责处理解决并承担一切费用。</w:t>
      </w:r>
    </w:p>
    <w:p>
      <w:pPr>
        <w:pStyle w:val="25"/>
        <w:spacing w:line="360" w:lineRule="auto"/>
        <w:ind w:firstLine="420" w:firstLineChars="200"/>
        <w:rPr>
          <w:rFonts w:hAnsi="宋体"/>
          <w:color w:val="auto"/>
          <w:highlight w:val="none"/>
          <w:u w:val="single"/>
        </w:rPr>
      </w:pPr>
      <w:r>
        <w:rPr>
          <w:rFonts w:hint="eastAsia" w:hAnsi="宋体"/>
          <w:color w:val="auto"/>
          <w:highlight w:val="none"/>
        </w:rPr>
        <w:t>9.5 其他售后服务要求：</w:t>
      </w:r>
      <w:r>
        <w:rPr>
          <w:rFonts w:hint="eastAsia" w:hAnsi="宋体"/>
          <w:color w:val="auto"/>
          <w:highlight w:val="none"/>
          <w:u w:val="single"/>
        </w:rPr>
        <w:t>按响应文件商务条款偏离表及澄清函（商务条款偏离表与澄清函不一致的以澄清函为准）内容执行。</w:t>
      </w:r>
    </w:p>
    <w:p>
      <w:pPr>
        <w:pStyle w:val="25"/>
        <w:spacing w:line="360" w:lineRule="auto"/>
        <w:ind w:firstLine="422" w:firstLineChars="200"/>
        <w:rPr>
          <w:rFonts w:hAnsi="宋体"/>
          <w:b/>
          <w:bCs/>
          <w:color w:val="auto"/>
          <w:highlight w:val="none"/>
        </w:rPr>
      </w:pPr>
      <w:r>
        <w:rPr>
          <w:rFonts w:hint="eastAsia" w:hAnsi="宋体"/>
          <w:b/>
          <w:bCs/>
          <w:color w:val="auto"/>
          <w:highlight w:val="none"/>
        </w:rPr>
        <w:t>10.  违约责任</w:t>
      </w:r>
    </w:p>
    <w:p>
      <w:pPr>
        <w:pStyle w:val="25"/>
        <w:spacing w:line="360" w:lineRule="auto"/>
        <w:ind w:firstLine="420" w:firstLineChars="200"/>
        <w:rPr>
          <w:rFonts w:hAnsi="宋体"/>
          <w:color w:val="auto"/>
          <w:highlight w:val="none"/>
        </w:rPr>
      </w:pPr>
      <w:r>
        <w:rPr>
          <w:rFonts w:hint="eastAsia" w:hAnsi="宋体"/>
          <w:color w:val="auto"/>
          <w:highlight w:val="none"/>
        </w:rPr>
        <w:t>10.1 甲方无正当理由拒收服务的，甲方向乙方偿付拒收服务费总值的百分之五违约金。</w:t>
      </w:r>
    </w:p>
    <w:p>
      <w:pPr>
        <w:pStyle w:val="25"/>
        <w:spacing w:line="360" w:lineRule="auto"/>
        <w:ind w:firstLine="420" w:firstLineChars="200"/>
        <w:rPr>
          <w:rFonts w:hAnsi="宋体"/>
          <w:color w:val="auto"/>
          <w:highlight w:val="none"/>
        </w:rPr>
      </w:pPr>
      <w:r>
        <w:rPr>
          <w:rFonts w:hint="eastAsia" w:hAnsi="宋体"/>
          <w:color w:val="auto"/>
          <w:highlight w:val="none"/>
        </w:rPr>
        <w:t>10.2 甲方无故逾期验收或办理合同款支付手续的，甲方应按逾期付款总额每日万分之五向乙方支付违约金。</w:t>
      </w:r>
    </w:p>
    <w:p>
      <w:pPr>
        <w:pStyle w:val="25"/>
        <w:spacing w:line="360" w:lineRule="auto"/>
        <w:ind w:firstLine="420" w:firstLineChars="200"/>
        <w:rPr>
          <w:rFonts w:hAnsi="宋体"/>
          <w:color w:val="auto"/>
          <w:highlight w:val="none"/>
        </w:rPr>
      </w:pPr>
      <w:r>
        <w:rPr>
          <w:rFonts w:hint="eastAsia" w:hAnsi="宋体"/>
          <w:color w:val="auto"/>
          <w:highlight w:val="none"/>
        </w:rPr>
        <w:t>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pStyle w:val="25"/>
        <w:spacing w:line="360" w:lineRule="auto"/>
        <w:ind w:firstLine="422" w:firstLineChars="200"/>
        <w:rPr>
          <w:rFonts w:hAnsi="宋体"/>
          <w:b/>
          <w:bCs/>
          <w:color w:val="auto"/>
          <w:highlight w:val="none"/>
        </w:rPr>
      </w:pPr>
      <w:r>
        <w:rPr>
          <w:rFonts w:hint="eastAsia" w:hAnsi="宋体"/>
          <w:b/>
          <w:bCs/>
          <w:color w:val="auto"/>
          <w:highlight w:val="none"/>
        </w:rPr>
        <w:t>11.  不可抗力事件处理</w:t>
      </w:r>
    </w:p>
    <w:p>
      <w:pPr>
        <w:pStyle w:val="25"/>
        <w:spacing w:line="360" w:lineRule="auto"/>
        <w:ind w:firstLine="420" w:firstLineChars="200"/>
        <w:rPr>
          <w:rFonts w:hAnsi="宋体"/>
          <w:color w:val="auto"/>
          <w:highlight w:val="none"/>
        </w:rPr>
      </w:pPr>
      <w:r>
        <w:rPr>
          <w:rFonts w:hint="eastAsia" w:hAnsi="宋体"/>
          <w:color w:val="auto"/>
          <w:highlight w:val="none"/>
        </w:rPr>
        <w:t>11.1 在合同有效期内，任何一方因不可抗力事件导致不能履行合同，则合同履行期可延长，其延长期与不可抗力影响期相同。</w:t>
      </w:r>
    </w:p>
    <w:p>
      <w:pPr>
        <w:pStyle w:val="25"/>
        <w:spacing w:line="360" w:lineRule="auto"/>
        <w:ind w:firstLine="420" w:firstLineChars="200"/>
        <w:rPr>
          <w:rFonts w:hAnsi="宋体"/>
          <w:color w:val="auto"/>
          <w:highlight w:val="none"/>
        </w:rPr>
      </w:pPr>
      <w:r>
        <w:rPr>
          <w:rFonts w:hint="eastAsia" w:hAnsi="宋体"/>
          <w:color w:val="auto"/>
          <w:highlight w:val="none"/>
        </w:rPr>
        <w:t>11.2 不可抗力事件发生后，应立即通知对方，并寄送有关权威机构出具的证明。</w:t>
      </w:r>
    </w:p>
    <w:p>
      <w:pPr>
        <w:pStyle w:val="25"/>
        <w:spacing w:line="360" w:lineRule="auto"/>
        <w:ind w:firstLine="420" w:firstLineChars="200"/>
        <w:rPr>
          <w:rFonts w:hAnsi="宋体"/>
          <w:color w:val="auto"/>
          <w:highlight w:val="none"/>
        </w:rPr>
      </w:pPr>
      <w:r>
        <w:rPr>
          <w:rFonts w:hint="eastAsia" w:hAnsi="宋体"/>
          <w:color w:val="auto"/>
          <w:highlight w:val="none"/>
        </w:rPr>
        <w:t>11.3 不可抗力事件延续120天以上，双方应通过友好协商，确定是否继续履行合同。</w:t>
      </w:r>
    </w:p>
    <w:p>
      <w:pPr>
        <w:pStyle w:val="25"/>
        <w:spacing w:line="360" w:lineRule="auto"/>
        <w:ind w:firstLine="422" w:firstLineChars="200"/>
        <w:rPr>
          <w:rFonts w:hAnsi="宋体"/>
          <w:b/>
          <w:bCs/>
          <w:color w:val="auto"/>
          <w:highlight w:val="none"/>
        </w:rPr>
      </w:pPr>
      <w:r>
        <w:rPr>
          <w:rFonts w:hint="eastAsia" w:hAnsi="宋体"/>
          <w:b/>
          <w:bCs/>
          <w:color w:val="auto"/>
          <w:highlight w:val="none"/>
        </w:rPr>
        <w:t>12.  诉讼</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12.1 双方在执行合同中所发生的一切争议，应通过协商解决。如协商不成，可向合同签订地法院起诉，合同签订地在此约定为广西南宁市青秀区。</w:t>
      </w:r>
    </w:p>
    <w:p>
      <w:pPr>
        <w:pStyle w:val="25"/>
        <w:spacing w:line="360" w:lineRule="auto"/>
        <w:ind w:firstLine="422" w:firstLineChars="200"/>
        <w:rPr>
          <w:rFonts w:hAnsi="宋体"/>
          <w:b/>
          <w:bCs/>
          <w:color w:val="auto"/>
          <w:highlight w:val="none"/>
        </w:rPr>
      </w:pPr>
      <w:r>
        <w:rPr>
          <w:rFonts w:hint="eastAsia" w:hAnsi="宋体"/>
          <w:b/>
          <w:bCs/>
          <w:color w:val="auto"/>
          <w:highlight w:val="none"/>
        </w:rPr>
        <w:t>13.  合同生效及其它</w:t>
      </w:r>
    </w:p>
    <w:p>
      <w:pPr>
        <w:pStyle w:val="25"/>
        <w:spacing w:line="360" w:lineRule="auto"/>
        <w:ind w:firstLine="420" w:firstLineChars="200"/>
        <w:rPr>
          <w:rFonts w:hAnsi="宋体"/>
          <w:color w:val="auto"/>
          <w:highlight w:val="none"/>
        </w:rPr>
      </w:pPr>
      <w:r>
        <w:rPr>
          <w:rFonts w:hint="eastAsia" w:hAnsi="宋体"/>
          <w:color w:val="auto"/>
          <w:highlight w:val="none"/>
        </w:rPr>
        <w:t>13.1 合同经双方法定代表人或授权委托代理人签字并加盖单位公章后生效。</w:t>
      </w:r>
    </w:p>
    <w:p>
      <w:pPr>
        <w:pStyle w:val="25"/>
        <w:spacing w:line="360" w:lineRule="auto"/>
        <w:ind w:firstLine="420" w:firstLineChars="200"/>
        <w:rPr>
          <w:rFonts w:hAnsi="宋体"/>
          <w:color w:val="auto"/>
          <w:highlight w:val="none"/>
        </w:rPr>
      </w:pPr>
      <w:r>
        <w:rPr>
          <w:rFonts w:hint="eastAsia" w:hAnsi="宋体"/>
          <w:color w:val="auto"/>
          <w:highlight w:val="none"/>
        </w:rPr>
        <w:t>13.2 合同执行中涉及采购资金和采购内容修改或补充的，须签书面补充协议，方可作为主合同不可分割的一部分。</w:t>
      </w:r>
    </w:p>
    <w:p>
      <w:pPr>
        <w:pStyle w:val="25"/>
        <w:spacing w:line="360" w:lineRule="auto"/>
        <w:ind w:firstLine="420" w:firstLineChars="200"/>
        <w:rPr>
          <w:rFonts w:hAnsi="宋体"/>
          <w:color w:val="auto"/>
          <w:highlight w:val="none"/>
        </w:rPr>
      </w:pPr>
      <w:r>
        <w:rPr>
          <w:rFonts w:hint="eastAsia" w:hAnsi="宋体"/>
          <w:color w:val="auto"/>
          <w:highlight w:val="none"/>
        </w:rPr>
        <w:t>13.3 下述合同附件为本合同不可分割的部分并与本合同具有同等效力：</w:t>
      </w:r>
    </w:p>
    <w:p>
      <w:pPr>
        <w:pStyle w:val="25"/>
        <w:spacing w:line="360" w:lineRule="auto"/>
        <w:ind w:firstLine="420" w:firstLineChars="200"/>
        <w:rPr>
          <w:rFonts w:hAnsi="宋体"/>
          <w:color w:val="auto"/>
          <w:highlight w:val="none"/>
        </w:rPr>
      </w:pPr>
      <w:r>
        <w:rPr>
          <w:rFonts w:hint="eastAsia" w:hAnsi="宋体"/>
          <w:color w:val="auto"/>
          <w:highlight w:val="none"/>
        </w:rPr>
        <w:t>（1）中标通知书；</w:t>
      </w:r>
    </w:p>
    <w:p>
      <w:pPr>
        <w:pStyle w:val="25"/>
        <w:spacing w:line="360" w:lineRule="auto"/>
        <w:ind w:firstLine="420" w:firstLineChars="200"/>
        <w:rPr>
          <w:rFonts w:hAnsi="宋体"/>
          <w:color w:val="auto"/>
          <w:highlight w:val="none"/>
        </w:rPr>
      </w:pPr>
      <w:r>
        <w:rPr>
          <w:rFonts w:hint="eastAsia" w:hAnsi="宋体"/>
          <w:color w:val="auto"/>
          <w:highlight w:val="none"/>
        </w:rPr>
        <w:t>（2）履约保证金交纳证明；</w:t>
      </w:r>
    </w:p>
    <w:p>
      <w:pPr>
        <w:pStyle w:val="25"/>
        <w:spacing w:line="360" w:lineRule="auto"/>
        <w:ind w:firstLine="420" w:firstLineChars="200"/>
        <w:rPr>
          <w:rFonts w:hAnsi="宋体"/>
          <w:color w:val="auto"/>
          <w:highlight w:val="none"/>
        </w:rPr>
      </w:pPr>
      <w:r>
        <w:rPr>
          <w:rFonts w:hint="eastAsia" w:hAnsi="宋体"/>
          <w:color w:val="auto"/>
          <w:highlight w:val="none"/>
        </w:rPr>
        <w:t>（3）招标文件服务需求一览表；</w:t>
      </w:r>
    </w:p>
    <w:p>
      <w:pPr>
        <w:pStyle w:val="25"/>
        <w:spacing w:line="360" w:lineRule="auto"/>
        <w:ind w:firstLine="420" w:firstLineChars="200"/>
        <w:rPr>
          <w:rFonts w:hAnsi="宋体"/>
          <w:color w:val="auto"/>
          <w:highlight w:val="none"/>
        </w:rPr>
      </w:pPr>
      <w:r>
        <w:rPr>
          <w:rFonts w:hint="eastAsia" w:hAnsi="宋体"/>
          <w:color w:val="auto"/>
          <w:highlight w:val="none"/>
        </w:rPr>
        <w:t>（4）招标文件的澄清和修改；</w:t>
      </w:r>
    </w:p>
    <w:p>
      <w:pPr>
        <w:pStyle w:val="25"/>
        <w:spacing w:line="360" w:lineRule="auto"/>
        <w:ind w:firstLine="420" w:firstLineChars="200"/>
        <w:rPr>
          <w:rFonts w:hAnsi="宋体"/>
          <w:color w:val="auto"/>
          <w:highlight w:val="none"/>
        </w:rPr>
      </w:pPr>
      <w:r>
        <w:rPr>
          <w:rFonts w:hint="eastAsia" w:hAnsi="宋体"/>
          <w:color w:val="auto"/>
          <w:highlight w:val="none"/>
        </w:rPr>
        <w:t>（5）投标函、报价表；</w:t>
      </w:r>
    </w:p>
    <w:p>
      <w:pPr>
        <w:pStyle w:val="25"/>
        <w:spacing w:line="360" w:lineRule="auto"/>
        <w:ind w:firstLine="420" w:firstLineChars="200"/>
        <w:rPr>
          <w:rFonts w:hAnsi="宋体"/>
          <w:color w:val="auto"/>
          <w:highlight w:val="none"/>
        </w:rPr>
      </w:pPr>
      <w:r>
        <w:rPr>
          <w:rFonts w:hint="eastAsia" w:hAnsi="宋体"/>
          <w:color w:val="auto"/>
          <w:highlight w:val="none"/>
        </w:rPr>
        <w:t>（6）投标服务技术资料表、商务条款偏离表、售后服务承诺书；</w:t>
      </w:r>
    </w:p>
    <w:p>
      <w:pPr>
        <w:pStyle w:val="25"/>
        <w:spacing w:line="360" w:lineRule="auto"/>
        <w:ind w:firstLine="420" w:firstLineChars="200"/>
        <w:rPr>
          <w:rFonts w:hAnsi="宋体"/>
          <w:color w:val="auto"/>
          <w:highlight w:val="none"/>
        </w:rPr>
      </w:pPr>
      <w:r>
        <w:rPr>
          <w:rFonts w:hint="eastAsia" w:hAnsi="宋体"/>
          <w:color w:val="auto"/>
          <w:highlight w:val="none"/>
        </w:rPr>
        <w:t>（7）中标供应商澄清函。</w:t>
      </w:r>
    </w:p>
    <w:p>
      <w:pPr>
        <w:pStyle w:val="25"/>
        <w:spacing w:line="360" w:lineRule="auto"/>
        <w:ind w:firstLine="420" w:firstLineChars="200"/>
        <w:rPr>
          <w:rFonts w:hAnsi="宋体"/>
          <w:color w:val="auto"/>
          <w:highlight w:val="none"/>
        </w:rPr>
      </w:pPr>
      <w:r>
        <w:rPr>
          <w:rFonts w:hint="eastAsia" w:hAnsi="宋体"/>
          <w:color w:val="auto"/>
          <w:highlight w:val="none"/>
        </w:rPr>
        <w:t>13.4 本合同未尽事宜，遵照《中华人民共和国合同法》有关条文执行。</w:t>
      </w:r>
    </w:p>
    <w:p>
      <w:pPr>
        <w:pStyle w:val="25"/>
        <w:spacing w:line="360" w:lineRule="auto"/>
        <w:ind w:firstLine="420" w:firstLineChars="200"/>
        <w:rPr>
          <w:rFonts w:hAnsi="宋体"/>
          <w:color w:val="auto"/>
          <w:highlight w:val="none"/>
        </w:rPr>
      </w:pPr>
      <w:r>
        <w:rPr>
          <w:rFonts w:hint="eastAsia" w:hAnsi="宋体"/>
          <w:color w:val="auto"/>
          <w:highlight w:val="none"/>
        </w:rPr>
        <w:t>13.5 本合同正本一式6份，具有同等法律效力。</w:t>
      </w:r>
    </w:p>
    <w:p>
      <w:pPr>
        <w:pStyle w:val="25"/>
        <w:spacing w:line="360" w:lineRule="auto"/>
        <w:ind w:firstLine="360"/>
        <w:rPr>
          <w:rFonts w:hAnsi="宋体"/>
          <w:color w:val="auto"/>
          <w:highlight w:val="none"/>
        </w:rPr>
      </w:pPr>
    </w:p>
    <w:p>
      <w:pPr>
        <w:pStyle w:val="25"/>
        <w:spacing w:line="360" w:lineRule="auto"/>
        <w:rPr>
          <w:rFonts w:hAnsi="宋体"/>
          <w:color w:val="auto"/>
          <w:highlight w:val="none"/>
        </w:rPr>
      </w:pPr>
    </w:p>
    <w:p>
      <w:pPr>
        <w:pStyle w:val="25"/>
        <w:spacing w:line="360" w:lineRule="auto"/>
        <w:rPr>
          <w:rFonts w:hAnsi="宋体"/>
          <w:color w:val="auto"/>
          <w:highlight w:val="none"/>
          <w:u w:val="single"/>
        </w:rPr>
      </w:pPr>
      <w:r>
        <w:rPr>
          <w:rFonts w:hint="eastAsia" w:hAnsi="宋体"/>
          <w:color w:val="auto"/>
          <w:highlight w:val="none"/>
        </w:rPr>
        <w:t>甲方：</w:t>
      </w:r>
      <w:r>
        <w:rPr>
          <w:rFonts w:hint="eastAsia" w:hAnsi="宋体"/>
          <w:color w:val="auto"/>
          <w:highlight w:val="none"/>
          <w:u w:val="single"/>
        </w:rPr>
        <w:t xml:space="preserve">                             </w:t>
      </w:r>
      <w:r>
        <w:rPr>
          <w:rFonts w:hint="eastAsia" w:hAnsi="宋体"/>
          <w:color w:val="auto"/>
          <w:highlight w:val="none"/>
        </w:rPr>
        <w:t xml:space="preserve">     乙方：</w:t>
      </w:r>
      <w:r>
        <w:rPr>
          <w:rFonts w:hint="eastAsia" w:hAnsi="宋体"/>
          <w:color w:val="auto"/>
          <w:highlight w:val="none"/>
          <w:u w:val="single"/>
        </w:rPr>
        <w:t xml:space="preserve">                         </w:t>
      </w:r>
    </w:p>
    <w:p>
      <w:pPr>
        <w:pStyle w:val="25"/>
        <w:spacing w:line="360" w:lineRule="auto"/>
        <w:ind w:left="5460" w:hanging="5460" w:hangingChars="2600"/>
        <w:rPr>
          <w:rFonts w:hAnsi="宋体"/>
          <w:color w:val="auto"/>
          <w:highlight w:val="none"/>
          <w:u w:val="single"/>
        </w:rPr>
      </w:pPr>
      <w:r>
        <w:rPr>
          <w:rFonts w:hint="eastAsia" w:hAnsi="宋体"/>
          <w:color w:val="auto"/>
          <w:highlight w:val="none"/>
        </w:rPr>
        <w:t>地址：</w:t>
      </w:r>
      <w:r>
        <w:rPr>
          <w:rFonts w:hint="eastAsia" w:hAnsi="宋体"/>
          <w:color w:val="auto"/>
          <w:highlight w:val="none"/>
          <w:u w:val="single"/>
        </w:rPr>
        <w:t xml:space="preserve">                              </w:t>
      </w:r>
      <w:r>
        <w:rPr>
          <w:rFonts w:hint="eastAsia" w:hAnsi="宋体"/>
          <w:color w:val="auto"/>
          <w:highlight w:val="none"/>
        </w:rPr>
        <w:t xml:space="preserve">    地址：</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法定代表人：</w:t>
      </w:r>
      <w:r>
        <w:rPr>
          <w:rFonts w:hint="eastAsia" w:hAnsi="宋体"/>
          <w:color w:val="auto"/>
          <w:highlight w:val="none"/>
          <w:u w:val="single"/>
        </w:rPr>
        <w:t xml:space="preserve">                        </w:t>
      </w:r>
      <w:r>
        <w:rPr>
          <w:rFonts w:hint="eastAsia" w:hAnsi="宋体"/>
          <w:color w:val="auto"/>
          <w:highlight w:val="none"/>
        </w:rPr>
        <w:t xml:space="preserve">    法定代表人：</w:t>
      </w:r>
      <w:r>
        <w:rPr>
          <w:rFonts w:hint="eastAsia" w:hAnsi="宋体"/>
          <w:color w:val="auto"/>
          <w:highlight w:val="none"/>
          <w:u w:val="single"/>
        </w:rPr>
        <w:t xml:space="preserve">                            </w:t>
      </w:r>
    </w:p>
    <w:p>
      <w:pPr>
        <w:pStyle w:val="25"/>
        <w:spacing w:line="360" w:lineRule="auto"/>
        <w:rPr>
          <w:rFonts w:hAnsi="宋体"/>
          <w:color w:val="auto"/>
          <w:highlight w:val="none"/>
        </w:rPr>
      </w:pPr>
      <w:r>
        <w:rPr>
          <w:rFonts w:hint="eastAsia" w:hAnsi="宋体"/>
          <w:color w:val="auto"/>
          <w:highlight w:val="none"/>
        </w:rPr>
        <w:t>委托代理人：</w:t>
      </w:r>
      <w:r>
        <w:rPr>
          <w:rFonts w:hint="eastAsia" w:hAnsi="宋体"/>
          <w:color w:val="auto"/>
          <w:highlight w:val="none"/>
          <w:u w:val="single"/>
        </w:rPr>
        <w:t xml:space="preserve">                       </w:t>
      </w:r>
      <w:r>
        <w:rPr>
          <w:rFonts w:hint="eastAsia" w:hAnsi="宋体"/>
          <w:color w:val="auto"/>
          <w:highlight w:val="none"/>
        </w:rPr>
        <w:t xml:space="preserve">     委托代理人：</w:t>
      </w:r>
      <w:r>
        <w:rPr>
          <w:rFonts w:hint="eastAsia" w:hAnsi="宋体"/>
          <w:color w:val="auto"/>
          <w:highlight w:val="none"/>
          <w:u w:val="single"/>
        </w:rPr>
        <w:t xml:space="preserve">                              </w:t>
      </w:r>
    </w:p>
    <w:p>
      <w:pPr>
        <w:pStyle w:val="25"/>
        <w:spacing w:line="360" w:lineRule="auto"/>
        <w:rPr>
          <w:rFonts w:hAnsi="宋体"/>
          <w:color w:val="auto"/>
          <w:highlight w:val="none"/>
        </w:rPr>
      </w:pPr>
      <w:r>
        <w:rPr>
          <w:rFonts w:hint="eastAsia" w:hAnsi="宋体"/>
          <w:color w:val="auto"/>
          <w:highlight w:val="none"/>
        </w:rPr>
        <w:t xml:space="preserve">电话：   </w:t>
      </w:r>
      <w:r>
        <w:rPr>
          <w:rFonts w:hint="eastAsia" w:hAnsi="宋体"/>
          <w:color w:val="auto"/>
          <w:highlight w:val="none"/>
          <w:u w:val="single"/>
        </w:rPr>
        <w:t xml:space="preserve">                          </w:t>
      </w:r>
      <w:r>
        <w:rPr>
          <w:rFonts w:hint="eastAsia" w:hAnsi="宋体"/>
          <w:color w:val="auto"/>
          <w:highlight w:val="none"/>
        </w:rPr>
        <w:t xml:space="preserve">     电话：</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传真：</w:t>
      </w:r>
      <w:r>
        <w:rPr>
          <w:rFonts w:hint="eastAsia" w:hAnsi="宋体"/>
          <w:color w:val="auto"/>
          <w:highlight w:val="none"/>
          <w:u w:val="single"/>
        </w:rPr>
        <w:t xml:space="preserve">                              </w:t>
      </w:r>
      <w:r>
        <w:rPr>
          <w:rFonts w:hint="eastAsia" w:hAnsi="宋体"/>
          <w:color w:val="auto"/>
          <w:highlight w:val="none"/>
        </w:rPr>
        <w:t xml:space="preserve">    传真：</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u w:val="single"/>
        </w:rPr>
      </w:pPr>
      <w:r>
        <w:rPr>
          <w:rFonts w:hint="eastAsia" w:hAnsi="宋体"/>
          <w:color w:val="auto"/>
          <w:highlight w:val="none"/>
        </w:rPr>
        <w:t>邮政编码：</w:t>
      </w:r>
      <w:r>
        <w:rPr>
          <w:rFonts w:hint="eastAsia" w:hAnsi="宋体"/>
          <w:color w:val="auto"/>
          <w:highlight w:val="none"/>
          <w:u w:val="single"/>
        </w:rPr>
        <w:t xml:space="preserve">                          </w:t>
      </w:r>
      <w:r>
        <w:rPr>
          <w:rFonts w:hint="eastAsia" w:hAnsi="宋体"/>
          <w:color w:val="auto"/>
          <w:highlight w:val="none"/>
        </w:rPr>
        <w:t xml:space="preserve">   邮政编码：</w:t>
      </w:r>
      <w:r>
        <w:rPr>
          <w:rFonts w:hint="eastAsia" w:hAnsi="宋体"/>
          <w:color w:val="auto"/>
          <w:highlight w:val="none"/>
          <w:u w:val="single"/>
        </w:rPr>
        <w:t xml:space="preserve">                              </w:t>
      </w:r>
    </w:p>
    <w:p>
      <w:pPr>
        <w:pStyle w:val="25"/>
        <w:spacing w:line="360" w:lineRule="auto"/>
        <w:ind w:firstLine="4095" w:firstLineChars="1950"/>
        <w:rPr>
          <w:rFonts w:hAnsi="宋体"/>
          <w:color w:val="auto"/>
          <w:highlight w:val="none"/>
        </w:rPr>
      </w:pPr>
      <w:r>
        <w:rPr>
          <w:rFonts w:hint="eastAsia" w:hAnsi="宋体"/>
          <w:color w:val="auto"/>
          <w:highlight w:val="none"/>
        </w:rPr>
        <w:t>统一社会代码：</w:t>
      </w:r>
      <w:r>
        <w:rPr>
          <w:rFonts w:hint="eastAsia" w:hAnsi="宋体"/>
          <w:color w:val="auto"/>
          <w:highlight w:val="none"/>
          <w:u w:val="single"/>
        </w:rPr>
        <w:t xml:space="preserve">                </w:t>
      </w:r>
    </w:p>
    <w:p>
      <w:pPr>
        <w:pStyle w:val="25"/>
        <w:spacing w:line="360" w:lineRule="auto"/>
        <w:rPr>
          <w:rFonts w:hAnsi="宋体"/>
          <w:color w:val="auto"/>
          <w:highlight w:val="none"/>
          <w:u w:val="single"/>
        </w:rPr>
      </w:pPr>
      <w:r>
        <w:rPr>
          <w:rFonts w:hint="eastAsia" w:hAnsi="宋体"/>
          <w:color w:val="auto"/>
          <w:highlight w:val="none"/>
        </w:rPr>
        <w:t xml:space="preserve">                                       开户银行：  </w:t>
      </w:r>
      <w:r>
        <w:rPr>
          <w:rFonts w:hint="eastAsia" w:hAnsi="宋体"/>
          <w:color w:val="auto"/>
          <w:highlight w:val="none"/>
          <w:u w:val="single"/>
        </w:rPr>
        <w:t xml:space="preserve">                       </w:t>
      </w:r>
    </w:p>
    <w:p>
      <w:pPr>
        <w:pStyle w:val="25"/>
        <w:spacing w:line="360" w:lineRule="auto"/>
        <w:rPr>
          <w:rFonts w:hAnsi="宋体"/>
          <w:color w:val="auto"/>
          <w:highlight w:val="none"/>
          <w:u w:val="single"/>
        </w:rPr>
      </w:pPr>
      <w:r>
        <w:rPr>
          <w:rFonts w:hint="eastAsia" w:hAnsi="宋体"/>
          <w:color w:val="auto"/>
          <w:highlight w:val="none"/>
        </w:rPr>
        <w:t xml:space="preserve">                                       开户名称：</w:t>
      </w:r>
      <w:r>
        <w:rPr>
          <w:rFonts w:hint="eastAsia" w:hAnsi="宋体"/>
          <w:color w:val="auto"/>
          <w:highlight w:val="none"/>
          <w:u w:val="single"/>
        </w:rPr>
        <w:t xml:space="preserve">    </w:t>
      </w:r>
      <w:r>
        <w:rPr>
          <w:rFonts w:hint="eastAsia" w:hAnsi="宋体"/>
          <w:color w:val="auto"/>
          <w:highlight w:val="none"/>
        </w:rPr>
        <w:t xml:space="preserve">  </w:t>
      </w:r>
      <w:r>
        <w:rPr>
          <w:rFonts w:hint="eastAsia" w:hAnsi="宋体"/>
          <w:color w:val="auto"/>
          <w:highlight w:val="none"/>
          <w:u w:val="single"/>
        </w:rPr>
        <w:t xml:space="preserve">                           </w:t>
      </w:r>
    </w:p>
    <w:p>
      <w:pPr>
        <w:pStyle w:val="25"/>
        <w:spacing w:line="360" w:lineRule="auto"/>
        <w:rPr>
          <w:rFonts w:hAnsi="宋体"/>
          <w:color w:val="auto"/>
          <w:highlight w:val="none"/>
          <w:u w:val="single"/>
        </w:rPr>
      </w:pPr>
      <w:r>
        <w:rPr>
          <w:rFonts w:hint="eastAsia" w:hAnsi="宋体"/>
          <w:color w:val="auto"/>
          <w:highlight w:val="none"/>
        </w:rPr>
        <w:t xml:space="preserve">                                       银行账号：</w:t>
      </w:r>
      <w:r>
        <w:rPr>
          <w:rFonts w:hint="eastAsia" w:hAnsi="宋体"/>
          <w:color w:val="auto"/>
          <w:highlight w:val="none"/>
          <w:u w:val="single"/>
        </w:rPr>
        <w:t xml:space="preserve">                             </w:t>
      </w:r>
    </w:p>
    <w:p>
      <w:pPr>
        <w:pStyle w:val="25"/>
        <w:spacing w:line="360" w:lineRule="auto"/>
        <w:rPr>
          <w:rFonts w:hAnsi="宋体"/>
          <w:color w:val="auto"/>
          <w:highlight w:val="none"/>
        </w:rPr>
      </w:pPr>
    </w:p>
    <w:p>
      <w:pPr>
        <w:pStyle w:val="25"/>
        <w:spacing w:line="360" w:lineRule="auto"/>
        <w:rPr>
          <w:rFonts w:hAnsi="宋体"/>
          <w:color w:val="auto"/>
          <w:highlight w:val="none"/>
        </w:rPr>
      </w:pPr>
      <w:r>
        <w:rPr>
          <w:rFonts w:hint="eastAsia" w:hAnsi="宋体"/>
          <w:color w:val="auto"/>
          <w:highlight w:val="none"/>
        </w:rPr>
        <w:t>合同签订地点：广西南宁</w:t>
      </w:r>
    </w:p>
    <w:p>
      <w:pPr>
        <w:pStyle w:val="25"/>
        <w:spacing w:line="360" w:lineRule="auto"/>
        <w:rPr>
          <w:rFonts w:hAnsi="宋体"/>
          <w:color w:val="auto"/>
          <w:sz w:val="24"/>
          <w:szCs w:val="24"/>
          <w:highlight w:val="none"/>
        </w:rPr>
      </w:pPr>
      <w:r>
        <w:rPr>
          <w:rFonts w:hint="eastAsia" w:hAnsi="宋体"/>
          <w:color w:val="auto"/>
          <w:highlight w:val="none"/>
        </w:rPr>
        <w:t>合同签订日期：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pPr>
        <w:jc w:val="center"/>
        <w:rPr>
          <w:color w:val="auto"/>
          <w:highlight w:val="none"/>
        </w:rPr>
      </w:pPr>
    </w:p>
    <w:sectPr>
      <w:headerReference r:id="rId9" w:type="first"/>
      <w:footerReference r:id="rId10" w:type="first"/>
      <w:pgSz w:w="11906" w:h="16838"/>
      <w:pgMar w:top="1418" w:right="1418" w:bottom="1418" w:left="1701"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rebuchet MS">
    <w:panose1 w:val="020B0603020202020204"/>
    <w:charset w:val="00"/>
    <w:family w:val="swiss"/>
    <w:pitch w:val="default"/>
    <w:sig w:usb0="00000287" w:usb1="00000000" w:usb2="00000000" w:usb3="00000000" w:csb0="2000009F"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25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ind w:right="804" w:rightChars="383" w:firstLine="420" w:firstLineChars="200"/>
      <w:rPr>
        <w:rFonts w:ascii="宋体" w:hAnsi="宋体"/>
        <w:szCs w:val="21"/>
      </w:rPr>
    </w:pPr>
    <w:r>
      <w:rPr>
        <w:rFonts w:hint="eastAsia" w:ascii="宋体" w:hAnsi="宋体"/>
        <w:szCs w:val="21"/>
      </w:rPr>
      <w:t>地毯除异味、室内空气净化服务采购</w:t>
    </w:r>
    <w:r>
      <w:rPr>
        <w:rFonts w:hint="eastAsia" w:ascii="宋体" w:hAnsi="宋体" w:cs="宋体"/>
        <w:color w:val="111F2C"/>
        <w:szCs w:val="21"/>
        <w:shd w:val="clear" w:color="auto" w:fill="FFFFFF"/>
      </w:rPr>
      <w:t>GIEG2020HZ-0040</w:t>
    </w:r>
  </w:p>
  <w:p>
    <w:pPr>
      <w:pStyle w:val="32"/>
      <w:jc w:val="right"/>
      <w:rPr>
        <w:rFonts w:ascii="宋体" w:hAnsi="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21"/>
      <w:lvlText w:val="%1."/>
      <w:lvlJc w:val="left"/>
      <w:pPr>
        <w:tabs>
          <w:tab w:val="left" w:pos="1200"/>
        </w:tabs>
        <w:ind w:left="1200" w:leftChars="400" w:hanging="360" w:hangingChars="200"/>
      </w:pPr>
    </w:lvl>
  </w:abstractNum>
  <w:abstractNum w:abstractNumId="1">
    <w:nsid w:val="076C7C35"/>
    <w:multiLevelType w:val="multilevel"/>
    <w:tmpl w:val="076C7C35"/>
    <w:lvl w:ilvl="0" w:tentative="0">
      <w:start w:val="1"/>
      <w:numFmt w:val="decimal"/>
      <w:pStyle w:val="121"/>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70541F2"/>
    <w:multiLevelType w:val="multilevel"/>
    <w:tmpl w:val="170541F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C0643D"/>
    <w:multiLevelType w:val="multilevel"/>
    <w:tmpl w:val="29C0643D"/>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38CDD373"/>
    <w:multiLevelType w:val="singleLevel"/>
    <w:tmpl w:val="38CDD373"/>
    <w:lvl w:ilvl="0" w:tentative="0">
      <w:start w:val="2"/>
      <w:numFmt w:val="chineseCounting"/>
      <w:suff w:val="nothing"/>
      <w:lvlText w:val="%1、"/>
      <w:lvlJc w:val="left"/>
      <w:rPr>
        <w:rFonts w:hint="eastAsia"/>
      </w:rPr>
    </w:lvl>
  </w:abstractNum>
  <w:abstractNum w:abstractNumId="6">
    <w:nsid w:val="4F886337"/>
    <w:multiLevelType w:val="multilevel"/>
    <w:tmpl w:val="4F886337"/>
    <w:lvl w:ilvl="0" w:tentative="0">
      <w:start w:val="1"/>
      <w:numFmt w:val="decimal"/>
      <w:pStyle w:val="138"/>
      <w:lvlText w:val="（%1）"/>
      <w:lvlJc w:val="left"/>
      <w:pPr>
        <w:ind w:left="1275" w:hanging="750"/>
      </w:pPr>
      <w:rPr>
        <w:rFonts w:hint="default"/>
        <w:lang w:val="en-US"/>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7">
    <w:nsid w:val="4FF1187F"/>
    <w:multiLevelType w:val="multilevel"/>
    <w:tmpl w:val="4FF1187F"/>
    <w:lvl w:ilvl="0" w:tentative="0">
      <w:start w:val="1"/>
      <w:numFmt w:val="decimal"/>
      <w:pStyle w:val="136"/>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56E83EA1"/>
    <w:multiLevelType w:val="multilevel"/>
    <w:tmpl w:val="56E83EA1"/>
    <w:lvl w:ilvl="0" w:tentative="0">
      <w:start w:val="1"/>
      <w:numFmt w:val="decimal"/>
      <w:pStyle w:val="134"/>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8F67B16"/>
    <w:multiLevelType w:val="singleLevel"/>
    <w:tmpl w:val="78F67B16"/>
    <w:lvl w:ilvl="0" w:tentative="0">
      <w:start w:val="10"/>
      <w:numFmt w:val="chineseCounting"/>
      <w:suff w:val="nothing"/>
      <w:lvlText w:val="%1、"/>
      <w:lvlJc w:val="left"/>
      <w:rPr>
        <w:rFonts w:hint="eastAsia"/>
      </w:rPr>
    </w:lvl>
  </w:abstractNum>
  <w:num w:numId="1">
    <w:abstractNumId w:val="4"/>
  </w:num>
  <w:num w:numId="2">
    <w:abstractNumId w:val="0"/>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2"/>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ocumentProtection w:enforcement="0"/>
  <w:defaultTabStop w:val="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34B14"/>
    <w:rsid w:val="00000672"/>
    <w:rsid w:val="00001A25"/>
    <w:rsid w:val="00001AD6"/>
    <w:rsid w:val="000021E2"/>
    <w:rsid w:val="000025AB"/>
    <w:rsid w:val="000029ED"/>
    <w:rsid w:val="00002AF7"/>
    <w:rsid w:val="00003442"/>
    <w:rsid w:val="000039E6"/>
    <w:rsid w:val="00003FC2"/>
    <w:rsid w:val="00005897"/>
    <w:rsid w:val="000065E3"/>
    <w:rsid w:val="000071E8"/>
    <w:rsid w:val="00010566"/>
    <w:rsid w:val="00010914"/>
    <w:rsid w:val="00010D86"/>
    <w:rsid w:val="00010E36"/>
    <w:rsid w:val="0001172C"/>
    <w:rsid w:val="00012854"/>
    <w:rsid w:val="000132E8"/>
    <w:rsid w:val="00014E30"/>
    <w:rsid w:val="00014F5B"/>
    <w:rsid w:val="00015487"/>
    <w:rsid w:val="00020134"/>
    <w:rsid w:val="00020F74"/>
    <w:rsid w:val="0002190F"/>
    <w:rsid w:val="000222F3"/>
    <w:rsid w:val="00022792"/>
    <w:rsid w:val="00023BE8"/>
    <w:rsid w:val="00024027"/>
    <w:rsid w:val="0002585A"/>
    <w:rsid w:val="00025E36"/>
    <w:rsid w:val="000269AB"/>
    <w:rsid w:val="000269ED"/>
    <w:rsid w:val="00026C29"/>
    <w:rsid w:val="000273E9"/>
    <w:rsid w:val="00027A5F"/>
    <w:rsid w:val="00027DE1"/>
    <w:rsid w:val="000307E9"/>
    <w:rsid w:val="00032114"/>
    <w:rsid w:val="00033A5B"/>
    <w:rsid w:val="00037171"/>
    <w:rsid w:val="000371E3"/>
    <w:rsid w:val="000411B4"/>
    <w:rsid w:val="00042CB8"/>
    <w:rsid w:val="0004440C"/>
    <w:rsid w:val="00044F9A"/>
    <w:rsid w:val="0004597C"/>
    <w:rsid w:val="000466AA"/>
    <w:rsid w:val="000467A4"/>
    <w:rsid w:val="00047131"/>
    <w:rsid w:val="000509D9"/>
    <w:rsid w:val="0005234F"/>
    <w:rsid w:val="00053428"/>
    <w:rsid w:val="0005401A"/>
    <w:rsid w:val="000545D5"/>
    <w:rsid w:val="00054880"/>
    <w:rsid w:val="00060B8B"/>
    <w:rsid w:val="00060E46"/>
    <w:rsid w:val="00062A8B"/>
    <w:rsid w:val="00062AA4"/>
    <w:rsid w:val="000643ED"/>
    <w:rsid w:val="00064847"/>
    <w:rsid w:val="00065B14"/>
    <w:rsid w:val="00065ED2"/>
    <w:rsid w:val="000673E2"/>
    <w:rsid w:val="00067CAF"/>
    <w:rsid w:val="0007068E"/>
    <w:rsid w:val="000711E4"/>
    <w:rsid w:val="00072DA9"/>
    <w:rsid w:val="00073325"/>
    <w:rsid w:val="00077F49"/>
    <w:rsid w:val="00080988"/>
    <w:rsid w:val="00082585"/>
    <w:rsid w:val="00083B5D"/>
    <w:rsid w:val="00085EC4"/>
    <w:rsid w:val="00086D6B"/>
    <w:rsid w:val="00091AD7"/>
    <w:rsid w:val="00091DCC"/>
    <w:rsid w:val="00091FCA"/>
    <w:rsid w:val="00092A1C"/>
    <w:rsid w:val="000958A8"/>
    <w:rsid w:val="000973B5"/>
    <w:rsid w:val="00097775"/>
    <w:rsid w:val="000A3D54"/>
    <w:rsid w:val="000A4419"/>
    <w:rsid w:val="000A520D"/>
    <w:rsid w:val="000A6046"/>
    <w:rsid w:val="000A6622"/>
    <w:rsid w:val="000A7A12"/>
    <w:rsid w:val="000B1EDF"/>
    <w:rsid w:val="000B2EF8"/>
    <w:rsid w:val="000B2F30"/>
    <w:rsid w:val="000B3B98"/>
    <w:rsid w:val="000B4428"/>
    <w:rsid w:val="000B4A1E"/>
    <w:rsid w:val="000B6D5D"/>
    <w:rsid w:val="000C3476"/>
    <w:rsid w:val="000C3771"/>
    <w:rsid w:val="000C56E0"/>
    <w:rsid w:val="000C7B1D"/>
    <w:rsid w:val="000D0515"/>
    <w:rsid w:val="000D0A89"/>
    <w:rsid w:val="000D2626"/>
    <w:rsid w:val="000D41D5"/>
    <w:rsid w:val="000D73DD"/>
    <w:rsid w:val="000E03CB"/>
    <w:rsid w:val="000E1989"/>
    <w:rsid w:val="000E46A6"/>
    <w:rsid w:val="000E4E23"/>
    <w:rsid w:val="000E56FD"/>
    <w:rsid w:val="000E6A23"/>
    <w:rsid w:val="000E747D"/>
    <w:rsid w:val="000F0EB3"/>
    <w:rsid w:val="000F0F35"/>
    <w:rsid w:val="000F3733"/>
    <w:rsid w:val="000F3B79"/>
    <w:rsid w:val="000F42CA"/>
    <w:rsid w:val="000F6DD9"/>
    <w:rsid w:val="001005C6"/>
    <w:rsid w:val="001009F5"/>
    <w:rsid w:val="001020ED"/>
    <w:rsid w:val="00102C16"/>
    <w:rsid w:val="00102FE0"/>
    <w:rsid w:val="00103918"/>
    <w:rsid w:val="00103E83"/>
    <w:rsid w:val="00104897"/>
    <w:rsid w:val="00104EDE"/>
    <w:rsid w:val="00105636"/>
    <w:rsid w:val="001066DD"/>
    <w:rsid w:val="001069B9"/>
    <w:rsid w:val="00106BEE"/>
    <w:rsid w:val="00110236"/>
    <w:rsid w:val="00111624"/>
    <w:rsid w:val="001118F4"/>
    <w:rsid w:val="0011510A"/>
    <w:rsid w:val="001155E7"/>
    <w:rsid w:val="0011608D"/>
    <w:rsid w:val="001168F0"/>
    <w:rsid w:val="00117F08"/>
    <w:rsid w:val="0012195F"/>
    <w:rsid w:val="00122064"/>
    <w:rsid w:val="00122941"/>
    <w:rsid w:val="00123F38"/>
    <w:rsid w:val="001255F8"/>
    <w:rsid w:val="00125E07"/>
    <w:rsid w:val="00126277"/>
    <w:rsid w:val="001263B8"/>
    <w:rsid w:val="001302BD"/>
    <w:rsid w:val="00130D92"/>
    <w:rsid w:val="001317C3"/>
    <w:rsid w:val="00133042"/>
    <w:rsid w:val="001337A4"/>
    <w:rsid w:val="00134C8F"/>
    <w:rsid w:val="00141C9C"/>
    <w:rsid w:val="00143ACD"/>
    <w:rsid w:val="0014459D"/>
    <w:rsid w:val="001448D5"/>
    <w:rsid w:val="00147134"/>
    <w:rsid w:val="00147802"/>
    <w:rsid w:val="0015138F"/>
    <w:rsid w:val="00151627"/>
    <w:rsid w:val="00151CD1"/>
    <w:rsid w:val="00151F4F"/>
    <w:rsid w:val="0015202A"/>
    <w:rsid w:val="00152FC1"/>
    <w:rsid w:val="00153750"/>
    <w:rsid w:val="0015413C"/>
    <w:rsid w:val="001542FC"/>
    <w:rsid w:val="001558B7"/>
    <w:rsid w:val="001561F6"/>
    <w:rsid w:val="0015688F"/>
    <w:rsid w:val="001609C5"/>
    <w:rsid w:val="0016420C"/>
    <w:rsid w:val="00164EC0"/>
    <w:rsid w:val="001661A3"/>
    <w:rsid w:val="00167E66"/>
    <w:rsid w:val="00170485"/>
    <w:rsid w:val="00171374"/>
    <w:rsid w:val="001720D2"/>
    <w:rsid w:val="0017223D"/>
    <w:rsid w:val="00173C68"/>
    <w:rsid w:val="00175BA6"/>
    <w:rsid w:val="00176909"/>
    <w:rsid w:val="00176D15"/>
    <w:rsid w:val="001778C5"/>
    <w:rsid w:val="00177B28"/>
    <w:rsid w:val="001801EF"/>
    <w:rsid w:val="00180209"/>
    <w:rsid w:val="001811F8"/>
    <w:rsid w:val="00182370"/>
    <w:rsid w:val="00182921"/>
    <w:rsid w:val="00182E7E"/>
    <w:rsid w:val="001844F7"/>
    <w:rsid w:val="0018466C"/>
    <w:rsid w:val="001849C9"/>
    <w:rsid w:val="00185617"/>
    <w:rsid w:val="001869B8"/>
    <w:rsid w:val="00186E62"/>
    <w:rsid w:val="0019181F"/>
    <w:rsid w:val="0019231C"/>
    <w:rsid w:val="00192E96"/>
    <w:rsid w:val="00192EE0"/>
    <w:rsid w:val="001A02B3"/>
    <w:rsid w:val="001A037B"/>
    <w:rsid w:val="001A0A06"/>
    <w:rsid w:val="001A26CD"/>
    <w:rsid w:val="001A3EDE"/>
    <w:rsid w:val="001A4DBA"/>
    <w:rsid w:val="001A55CA"/>
    <w:rsid w:val="001A563F"/>
    <w:rsid w:val="001A5E24"/>
    <w:rsid w:val="001A687B"/>
    <w:rsid w:val="001A69F8"/>
    <w:rsid w:val="001A6D8B"/>
    <w:rsid w:val="001B00A8"/>
    <w:rsid w:val="001B05DD"/>
    <w:rsid w:val="001B09B9"/>
    <w:rsid w:val="001B1BD1"/>
    <w:rsid w:val="001B1CAC"/>
    <w:rsid w:val="001B2CE3"/>
    <w:rsid w:val="001B37A0"/>
    <w:rsid w:val="001B487F"/>
    <w:rsid w:val="001B52D1"/>
    <w:rsid w:val="001B7052"/>
    <w:rsid w:val="001B7F00"/>
    <w:rsid w:val="001C006E"/>
    <w:rsid w:val="001C086E"/>
    <w:rsid w:val="001C1071"/>
    <w:rsid w:val="001C1E34"/>
    <w:rsid w:val="001C20B2"/>
    <w:rsid w:val="001C6CB0"/>
    <w:rsid w:val="001D0B7F"/>
    <w:rsid w:val="001D1712"/>
    <w:rsid w:val="001D17EE"/>
    <w:rsid w:val="001D18E0"/>
    <w:rsid w:val="001D234F"/>
    <w:rsid w:val="001D255E"/>
    <w:rsid w:val="001D4A05"/>
    <w:rsid w:val="001D5A8A"/>
    <w:rsid w:val="001D5D9C"/>
    <w:rsid w:val="001D6B8C"/>
    <w:rsid w:val="001D71F1"/>
    <w:rsid w:val="001D721C"/>
    <w:rsid w:val="001E129E"/>
    <w:rsid w:val="001E1E6A"/>
    <w:rsid w:val="001E2052"/>
    <w:rsid w:val="001E2B15"/>
    <w:rsid w:val="001E4232"/>
    <w:rsid w:val="001E474A"/>
    <w:rsid w:val="001E798B"/>
    <w:rsid w:val="001F0E52"/>
    <w:rsid w:val="001F325C"/>
    <w:rsid w:val="001F4002"/>
    <w:rsid w:val="001F678E"/>
    <w:rsid w:val="00200851"/>
    <w:rsid w:val="00201588"/>
    <w:rsid w:val="00201E89"/>
    <w:rsid w:val="0020307F"/>
    <w:rsid w:val="002035B4"/>
    <w:rsid w:val="00203825"/>
    <w:rsid w:val="00204133"/>
    <w:rsid w:val="0020437A"/>
    <w:rsid w:val="002048D4"/>
    <w:rsid w:val="0020517D"/>
    <w:rsid w:val="00211433"/>
    <w:rsid w:val="002114C7"/>
    <w:rsid w:val="00211A29"/>
    <w:rsid w:val="0021221E"/>
    <w:rsid w:val="00213066"/>
    <w:rsid w:val="00215314"/>
    <w:rsid w:val="002156AE"/>
    <w:rsid w:val="00216D43"/>
    <w:rsid w:val="00216F6B"/>
    <w:rsid w:val="0021738A"/>
    <w:rsid w:val="00222879"/>
    <w:rsid w:val="002237DB"/>
    <w:rsid w:val="00223C07"/>
    <w:rsid w:val="00227954"/>
    <w:rsid w:val="002300AC"/>
    <w:rsid w:val="00231B89"/>
    <w:rsid w:val="00231DF9"/>
    <w:rsid w:val="00231FA2"/>
    <w:rsid w:val="0023394E"/>
    <w:rsid w:val="00234045"/>
    <w:rsid w:val="00234FE0"/>
    <w:rsid w:val="002355BE"/>
    <w:rsid w:val="0023639C"/>
    <w:rsid w:val="00237020"/>
    <w:rsid w:val="002371B5"/>
    <w:rsid w:val="00237E01"/>
    <w:rsid w:val="00242682"/>
    <w:rsid w:val="002439AB"/>
    <w:rsid w:val="00244B22"/>
    <w:rsid w:val="00245F2B"/>
    <w:rsid w:val="002511B0"/>
    <w:rsid w:val="002518B9"/>
    <w:rsid w:val="0025394B"/>
    <w:rsid w:val="002560B6"/>
    <w:rsid w:val="002566B1"/>
    <w:rsid w:val="00260CFF"/>
    <w:rsid w:val="00261E30"/>
    <w:rsid w:val="0026295D"/>
    <w:rsid w:val="002642EF"/>
    <w:rsid w:val="002657FB"/>
    <w:rsid w:val="00265907"/>
    <w:rsid w:val="00267ECE"/>
    <w:rsid w:val="00280DC8"/>
    <w:rsid w:val="002835B0"/>
    <w:rsid w:val="00283761"/>
    <w:rsid w:val="00283B01"/>
    <w:rsid w:val="00284567"/>
    <w:rsid w:val="0028463A"/>
    <w:rsid w:val="00285063"/>
    <w:rsid w:val="00287763"/>
    <w:rsid w:val="00293B43"/>
    <w:rsid w:val="002952AF"/>
    <w:rsid w:val="002952B6"/>
    <w:rsid w:val="00295D11"/>
    <w:rsid w:val="00296B83"/>
    <w:rsid w:val="00297A2B"/>
    <w:rsid w:val="002A018B"/>
    <w:rsid w:val="002A33C7"/>
    <w:rsid w:val="002A34C4"/>
    <w:rsid w:val="002A5D15"/>
    <w:rsid w:val="002B2DD4"/>
    <w:rsid w:val="002B320E"/>
    <w:rsid w:val="002B356B"/>
    <w:rsid w:val="002B4798"/>
    <w:rsid w:val="002B5E20"/>
    <w:rsid w:val="002B7988"/>
    <w:rsid w:val="002C0C1C"/>
    <w:rsid w:val="002C18C8"/>
    <w:rsid w:val="002C5420"/>
    <w:rsid w:val="002C6772"/>
    <w:rsid w:val="002C6AD4"/>
    <w:rsid w:val="002D08B3"/>
    <w:rsid w:val="002D4B03"/>
    <w:rsid w:val="002D5449"/>
    <w:rsid w:val="002D5726"/>
    <w:rsid w:val="002D63CD"/>
    <w:rsid w:val="002D6A5B"/>
    <w:rsid w:val="002D7648"/>
    <w:rsid w:val="002D79BC"/>
    <w:rsid w:val="002E05CF"/>
    <w:rsid w:val="002E0980"/>
    <w:rsid w:val="002E109C"/>
    <w:rsid w:val="002E1A1E"/>
    <w:rsid w:val="002E3AB9"/>
    <w:rsid w:val="002F199D"/>
    <w:rsid w:val="002F3202"/>
    <w:rsid w:val="002F34CE"/>
    <w:rsid w:val="002F460A"/>
    <w:rsid w:val="002F5188"/>
    <w:rsid w:val="002F63E5"/>
    <w:rsid w:val="002F6B36"/>
    <w:rsid w:val="002F768C"/>
    <w:rsid w:val="002F7912"/>
    <w:rsid w:val="002F7D1E"/>
    <w:rsid w:val="003019A4"/>
    <w:rsid w:val="00301A1A"/>
    <w:rsid w:val="00302E54"/>
    <w:rsid w:val="00303F2B"/>
    <w:rsid w:val="0030400D"/>
    <w:rsid w:val="003067AA"/>
    <w:rsid w:val="00306FCC"/>
    <w:rsid w:val="003108A6"/>
    <w:rsid w:val="0031380E"/>
    <w:rsid w:val="00313DB8"/>
    <w:rsid w:val="003141F7"/>
    <w:rsid w:val="00314469"/>
    <w:rsid w:val="00317BA7"/>
    <w:rsid w:val="00317E5D"/>
    <w:rsid w:val="00322520"/>
    <w:rsid w:val="00324D63"/>
    <w:rsid w:val="00327D41"/>
    <w:rsid w:val="003324C5"/>
    <w:rsid w:val="003329B3"/>
    <w:rsid w:val="00333089"/>
    <w:rsid w:val="00334AE1"/>
    <w:rsid w:val="003357F1"/>
    <w:rsid w:val="00335DC5"/>
    <w:rsid w:val="0033691E"/>
    <w:rsid w:val="0033735F"/>
    <w:rsid w:val="003374B7"/>
    <w:rsid w:val="003412DB"/>
    <w:rsid w:val="003416BA"/>
    <w:rsid w:val="00342D82"/>
    <w:rsid w:val="00342F99"/>
    <w:rsid w:val="00343568"/>
    <w:rsid w:val="0034501B"/>
    <w:rsid w:val="00346224"/>
    <w:rsid w:val="00346910"/>
    <w:rsid w:val="003469A0"/>
    <w:rsid w:val="00346C05"/>
    <w:rsid w:val="00347A53"/>
    <w:rsid w:val="00347D20"/>
    <w:rsid w:val="00350527"/>
    <w:rsid w:val="003505DC"/>
    <w:rsid w:val="003512EE"/>
    <w:rsid w:val="00351898"/>
    <w:rsid w:val="003518A6"/>
    <w:rsid w:val="00355125"/>
    <w:rsid w:val="00356988"/>
    <w:rsid w:val="00362E0B"/>
    <w:rsid w:val="00363E66"/>
    <w:rsid w:val="00363FEF"/>
    <w:rsid w:val="00364034"/>
    <w:rsid w:val="00366683"/>
    <w:rsid w:val="00370DC7"/>
    <w:rsid w:val="00371539"/>
    <w:rsid w:val="0037626E"/>
    <w:rsid w:val="00380BA9"/>
    <w:rsid w:val="00381224"/>
    <w:rsid w:val="00381606"/>
    <w:rsid w:val="00382B81"/>
    <w:rsid w:val="003841FF"/>
    <w:rsid w:val="0038722C"/>
    <w:rsid w:val="003875A4"/>
    <w:rsid w:val="00387610"/>
    <w:rsid w:val="00387620"/>
    <w:rsid w:val="00390286"/>
    <w:rsid w:val="003936AA"/>
    <w:rsid w:val="00393EC8"/>
    <w:rsid w:val="00394910"/>
    <w:rsid w:val="00396A2D"/>
    <w:rsid w:val="00396CA3"/>
    <w:rsid w:val="00396FC3"/>
    <w:rsid w:val="0039722A"/>
    <w:rsid w:val="00397BC9"/>
    <w:rsid w:val="003A2C81"/>
    <w:rsid w:val="003A374D"/>
    <w:rsid w:val="003A5758"/>
    <w:rsid w:val="003A64BB"/>
    <w:rsid w:val="003A6B80"/>
    <w:rsid w:val="003B0B6A"/>
    <w:rsid w:val="003B0D5E"/>
    <w:rsid w:val="003B1D17"/>
    <w:rsid w:val="003B1E5B"/>
    <w:rsid w:val="003B2199"/>
    <w:rsid w:val="003B29CF"/>
    <w:rsid w:val="003B31AB"/>
    <w:rsid w:val="003B497F"/>
    <w:rsid w:val="003B4A36"/>
    <w:rsid w:val="003B54A5"/>
    <w:rsid w:val="003C071B"/>
    <w:rsid w:val="003C08E4"/>
    <w:rsid w:val="003C1BD9"/>
    <w:rsid w:val="003C2366"/>
    <w:rsid w:val="003C3BA0"/>
    <w:rsid w:val="003C4580"/>
    <w:rsid w:val="003C497F"/>
    <w:rsid w:val="003C6746"/>
    <w:rsid w:val="003C7252"/>
    <w:rsid w:val="003C7AA3"/>
    <w:rsid w:val="003C7F0D"/>
    <w:rsid w:val="003D0E07"/>
    <w:rsid w:val="003D26D0"/>
    <w:rsid w:val="003D385B"/>
    <w:rsid w:val="003D50B5"/>
    <w:rsid w:val="003D65D8"/>
    <w:rsid w:val="003D6E57"/>
    <w:rsid w:val="003D7CE8"/>
    <w:rsid w:val="003E1B3A"/>
    <w:rsid w:val="003E285E"/>
    <w:rsid w:val="003E3300"/>
    <w:rsid w:val="003E5ABF"/>
    <w:rsid w:val="003E71A7"/>
    <w:rsid w:val="003E72B9"/>
    <w:rsid w:val="003E7311"/>
    <w:rsid w:val="003F0B1A"/>
    <w:rsid w:val="003F1DB9"/>
    <w:rsid w:val="003F41F0"/>
    <w:rsid w:val="003F47BA"/>
    <w:rsid w:val="003F5897"/>
    <w:rsid w:val="003F6617"/>
    <w:rsid w:val="003F726A"/>
    <w:rsid w:val="0040118D"/>
    <w:rsid w:val="00401529"/>
    <w:rsid w:val="0040569C"/>
    <w:rsid w:val="004067A1"/>
    <w:rsid w:val="00413D4C"/>
    <w:rsid w:val="00414A54"/>
    <w:rsid w:val="00414CE6"/>
    <w:rsid w:val="00414DA2"/>
    <w:rsid w:val="00415977"/>
    <w:rsid w:val="00415F25"/>
    <w:rsid w:val="00417BAA"/>
    <w:rsid w:val="004212F2"/>
    <w:rsid w:val="00422204"/>
    <w:rsid w:val="00422238"/>
    <w:rsid w:val="00422A10"/>
    <w:rsid w:val="00422CF5"/>
    <w:rsid w:val="00424A99"/>
    <w:rsid w:val="00425C8B"/>
    <w:rsid w:val="00425CCB"/>
    <w:rsid w:val="00427713"/>
    <w:rsid w:val="00430063"/>
    <w:rsid w:val="00430218"/>
    <w:rsid w:val="00432589"/>
    <w:rsid w:val="00432892"/>
    <w:rsid w:val="00432896"/>
    <w:rsid w:val="00432E8B"/>
    <w:rsid w:val="00433556"/>
    <w:rsid w:val="00433B60"/>
    <w:rsid w:val="00436AD4"/>
    <w:rsid w:val="004379E7"/>
    <w:rsid w:val="00441103"/>
    <w:rsid w:val="00441DF9"/>
    <w:rsid w:val="004420DF"/>
    <w:rsid w:val="004433CB"/>
    <w:rsid w:val="0044372F"/>
    <w:rsid w:val="00445A2F"/>
    <w:rsid w:val="00445D65"/>
    <w:rsid w:val="0044684E"/>
    <w:rsid w:val="00450311"/>
    <w:rsid w:val="00450555"/>
    <w:rsid w:val="00452AE1"/>
    <w:rsid w:val="00454347"/>
    <w:rsid w:val="004572F3"/>
    <w:rsid w:val="00460531"/>
    <w:rsid w:val="00460A50"/>
    <w:rsid w:val="00460E8F"/>
    <w:rsid w:val="00461EBA"/>
    <w:rsid w:val="00462D42"/>
    <w:rsid w:val="004633B9"/>
    <w:rsid w:val="00463AB2"/>
    <w:rsid w:val="00464261"/>
    <w:rsid w:val="00464D90"/>
    <w:rsid w:val="0046570E"/>
    <w:rsid w:val="0047119F"/>
    <w:rsid w:val="0047191D"/>
    <w:rsid w:val="00472489"/>
    <w:rsid w:val="00473128"/>
    <w:rsid w:val="00475A17"/>
    <w:rsid w:val="00475BF4"/>
    <w:rsid w:val="004761F2"/>
    <w:rsid w:val="004763CD"/>
    <w:rsid w:val="004770EE"/>
    <w:rsid w:val="004779D3"/>
    <w:rsid w:val="00477DBF"/>
    <w:rsid w:val="00480372"/>
    <w:rsid w:val="004816C9"/>
    <w:rsid w:val="00481FC3"/>
    <w:rsid w:val="0048204C"/>
    <w:rsid w:val="004826FE"/>
    <w:rsid w:val="00484B69"/>
    <w:rsid w:val="0048590F"/>
    <w:rsid w:val="00485961"/>
    <w:rsid w:val="004867A2"/>
    <w:rsid w:val="00486951"/>
    <w:rsid w:val="00486971"/>
    <w:rsid w:val="00486FD8"/>
    <w:rsid w:val="004879A0"/>
    <w:rsid w:val="00490A07"/>
    <w:rsid w:val="004921F9"/>
    <w:rsid w:val="00492A25"/>
    <w:rsid w:val="004930FB"/>
    <w:rsid w:val="0049585A"/>
    <w:rsid w:val="00495C30"/>
    <w:rsid w:val="004A0457"/>
    <w:rsid w:val="004A1405"/>
    <w:rsid w:val="004A2541"/>
    <w:rsid w:val="004A279F"/>
    <w:rsid w:val="004A2BFE"/>
    <w:rsid w:val="004A381E"/>
    <w:rsid w:val="004A5A21"/>
    <w:rsid w:val="004A5F1A"/>
    <w:rsid w:val="004A786A"/>
    <w:rsid w:val="004A7917"/>
    <w:rsid w:val="004A7EF2"/>
    <w:rsid w:val="004B011D"/>
    <w:rsid w:val="004B1FF5"/>
    <w:rsid w:val="004B29AC"/>
    <w:rsid w:val="004B3723"/>
    <w:rsid w:val="004B72F8"/>
    <w:rsid w:val="004C1137"/>
    <w:rsid w:val="004C4EF9"/>
    <w:rsid w:val="004C51FD"/>
    <w:rsid w:val="004C5987"/>
    <w:rsid w:val="004C6625"/>
    <w:rsid w:val="004C7393"/>
    <w:rsid w:val="004C7913"/>
    <w:rsid w:val="004D04ED"/>
    <w:rsid w:val="004D140D"/>
    <w:rsid w:val="004D1C9A"/>
    <w:rsid w:val="004D2499"/>
    <w:rsid w:val="004D29ED"/>
    <w:rsid w:val="004D35BA"/>
    <w:rsid w:val="004D377F"/>
    <w:rsid w:val="004D41DD"/>
    <w:rsid w:val="004D5599"/>
    <w:rsid w:val="004D5A11"/>
    <w:rsid w:val="004D618D"/>
    <w:rsid w:val="004D6250"/>
    <w:rsid w:val="004D655D"/>
    <w:rsid w:val="004E25A8"/>
    <w:rsid w:val="004E41FB"/>
    <w:rsid w:val="004E5F5C"/>
    <w:rsid w:val="004E6097"/>
    <w:rsid w:val="004E687A"/>
    <w:rsid w:val="004E6D9E"/>
    <w:rsid w:val="004E7B03"/>
    <w:rsid w:val="004F0446"/>
    <w:rsid w:val="004F06AC"/>
    <w:rsid w:val="004F2193"/>
    <w:rsid w:val="004F23AE"/>
    <w:rsid w:val="004F3879"/>
    <w:rsid w:val="004F47E9"/>
    <w:rsid w:val="004F52FA"/>
    <w:rsid w:val="004F53B2"/>
    <w:rsid w:val="004F6CA1"/>
    <w:rsid w:val="004F70FC"/>
    <w:rsid w:val="00500258"/>
    <w:rsid w:val="0050487A"/>
    <w:rsid w:val="0050766C"/>
    <w:rsid w:val="005128BE"/>
    <w:rsid w:val="00512D11"/>
    <w:rsid w:val="00513DC9"/>
    <w:rsid w:val="00513E7C"/>
    <w:rsid w:val="00514B04"/>
    <w:rsid w:val="0051608F"/>
    <w:rsid w:val="00524832"/>
    <w:rsid w:val="00524C5A"/>
    <w:rsid w:val="00526049"/>
    <w:rsid w:val="00526BC3"/>
    <w:rsid w:val="00526D89"/>
    <w:rsid w:val="005277FF"/>
    <w:rsid w:val="00527AE1"/>
    <w:rsid w:val="00530950"/>
    <w:rsid w:val="0053195D"/>
    <w:rsid w:val="00531E01"/>
    <w:rsid w:val="0053259B"/>
    <w:rsid w:val="00534BE3"/>
    <w:rsid w:val="00534D3F"/>
    <w:rsid w:val="00534FB8"/>
    <w:rsid w:val="00535291"/>
    <w:rsid w:val="0053798F"/>
    <w:rsid w:val="005403E1"/>
    <w:rsid w:val="00540631"/>
    <w:rsid w:val="00543A37"/>
    <w:rsid w:val="00543AF4"/>
    <w:rsid w:val="00543C6E"/>
    <w:rsid w:val="00544191"/>
    <w:rsid w:val="00544678"/>
    <w:rsid w:val="00544F39"/>
    <w:rsid w:val="005465D0"/>
    <w:rsid w:val="00547EFB"/>
    <w:rsid w:val="00550829"/>
    <w:rsid w:val="005531DF"/>
    <w:rsid w:val="00554151"/>
    <w:rsid w:val="00554F78"/>
    <w:rsid w:val="005556FD"/>
    <w:rsid w:val="00555834"/>
    <w:rsid w:val="005558BC"/>
    <w:rsid w:val="005566BC"/>
    <w:rsid w:val="0055679E"/>
    <w:rsid w:val="0055781F"/>
    <w:rsid w:val="0056186B"/>
    <w:rsid w:val="00561B7B"/>
    <w:rsid w:val="00563085"/>
    <w:rsid w:val="00565E69"/>
    <w:rsid w:val="005678DE"/>
    <w:rsid w:val="005702E4"/>
    <w:rsid w:val="00570986"/>
    <w:rsid w:val="0057145B"/>
    <w:rsid w:val="00571684"/>
    <w:rsid w:val="00572C50"/>
    <w:rsid w:val="00573733"/>
    <w:rsid w:val="00573EEF"/>
    <w:rsid w:val="00575A24"/>
    <w:rsid w:val="005779E4"/>
    <w:rsid w:val="005809E1"/>
    <w:rsid w:val="00581AD7"/>
    <w:rsid w:val="00582452"/>
    <w:rsid w:val="005836C7"/>
    <w:rsid w:val="00583B3B"/>
    <w:rsid w:val="00584E2C"/>
    <w:rsid w:val="00586C5C"/>
    <w:rsid w:val="00587C79"/>
    <w:rsid w:val="00590B77"/>
    <w:rsid w:val="005913A3"/>
    <w:rsid w:val="00591BEF"/>
    <w:rsid w:val="00592767"/>
    <w:rsid w:val="00593753"/>
    <w:rsid w:val="00593D5E"/>
    <w:rsid w:val="00595131"/>
    <w:rsid w:val="00595E24"/>
    <w:rsid w:val="005963DB"/>
    <w:rsid w:val="00596B03"/>
    <w:rsid w:val="00597E5B"/>
    <w:rsid w:val="00597ECA"/>
    <w:rsid w:val="005A1DEC"/>
    <w:rsid w:val="005A24F0"/>
    <w:rsid w:val="005A32F7"/>
    <w:rsid w:val="005A55BA"/>
    <w:rsid w:val="005A71E9"/>
    <w:rsid w:val="005A7328"/>
    <w:rsid w:val="005A7F37"/>
    <w:rsid w:val="005B07EC"/>
    <w:rsid w:val="005B0CF0"/>
    <w:rsid w:val="005B1C37"/>
    <w:rsid w:val="005B2A32"/>
    <w:rsid w:val="005B3341"/>
    <w:rsid w:val="005B34AA"/>
    <w:rsid w:val="005B35B0"/>
    <w:rsid w:val="005B5BEE"/>
    <w:rsid w:val="005B7552"/>
    <w:rsid w:val="005B77D2"/>
    <w:rsid w:val="005C0860"/>
    <w:rsid w:val="005C30F5"/>
    <w:rsid w:val="005C3779"/>
    <w:rsid w:val="005C6000"/>
    <w:rsid w:val="005C6B8B"/>
    <w:rsid w:val="005D02E3"/>
    <w:rsid w:val="005D05F5"/>
    <w:rsid w:val="005D107A"/>
    <w:rsid w:val="005D1A3D"/>
    <w:rsid w:val="005D1A53"/>
    <w:rsid w:val="005D1C87"/>
    <w:rsid w:val="005D1D98"/>
    <w:rsid w:val="005D39FD"/>
    <w:rsid w:val="005D3B54"/>
    <w:rsid w:val="005D57DA"/>
    <w:rsid w:val="005D6FA2"/>
    <w:rsid w:val="005D710D"/>
    <w:rsid w:val="005E2DAA"/>
    <w:rsid w:val="005E666A"/>
    <w:rsid w:val="005F002A"/>
    <w:rsid w:val="005F02F0"/>
    <w:rsid w:val="005F1516"/>
    <w:rsid w:val="005F229E"/>
    <w:rsid w:val="005F2D9A"/>
    <w:rsid w:val="005F3072"/>
    <w:rsid w:val="005F3D9D"/>
    <w:rsid w:val="005F4E52"/>
    <w:rsid w:val="005F5360"/>
    <w:rsid w:val="005F5889"/>
    <w:rsid w:val="005F61E5"/>
    <w:rsid w:val="005F6F0A"/>
    <w:rsid w:val="006000BE"/>
    <w:rsid w:val="0060058E"/>
    <w:rsid w:val="00602A3C"/>
    <w:rsid w:val="00602F1C"/>
    <w:rsid w:val="00604508"/>
    <w:rsid w:val="0060549F"/>
    <w:rsid w:val="0060750F"/>
    <w:rsid w:val="00607DE2"/>
    <w:rsid w:val="0061035A"/>
    <w:rsid w:val="0061110D"/>
    <w:rsid w:val="00611873"/>
    <w:rsid w:val="00613791"/>
    <w:rsid w:val="00614079"/>
    <w:rsid w:val="00615E13"/>
    <w:rsid w:val="00617BE1"/>
    <w:rsid w:val="00617EEE"/>
    <w:rsid w:val="00620352"/>
    <w:rsid w:val="0062055B"/>
    <w:rsid w:val="00621C0E"/>
    <w:rsid w:val="00623389"/>
    <w:rsid w:val="006247D0"/>
    <w:rsid w:val="0062615B"/>
    <w:rsid w:val="006268E4"/>
    <w:rsid w:val="006279FE"/>
    <w:rsid w:val="006330CA"/>
    <w:rsid w:val="0063413D"/>
    <w:rsid w:val="00634738"/>
    <w:rsid w:val="006363FA"/>
    <w:rsid w:val="00641AF8"/>
    <w:rsid w:val="00642A93"/>
    <w:rsid w:val="00642E16"/>
    <w:rsid w:val="00643664"/>
    <w:rsid w:val="00643CAA"/>
    <w:rsid w:val="00645EC9"/>
    <w:rsid w:val="00652C4C"/>
    <w:rsid w:val="00653CDE"/>
    <w:rsid w:val="0065407E"/>
    <w:rsid w:val="00660678"/>
    <w:rsid w:val="00661277"/>
    <w:rsid w:val="00661F62"/>
    <w:rsid w:val="006623D7"/>
    <w:rsid w:val="00663B40"/>
    <w:rsid w:val="00663FEA"/>
    <w:rsid w:val="00664803"/>
    <w:rsid w:val="00664E00"/>
    <w:rsid w:val="00665945"/>
    <w:rsid w:val="00665B3B"/>
    <w:rsid w:val="006663AC"/>
    <w:rsid w:val="00667BDE"/>
    <w:rsid w:val="00667EA7"/>
    <w:rsid w:val="00670F0F"/>
    <w:rsid w:val="00670F71"/>
    <w:rsid w:val="00673E94"/>
    <w:rsid w:val="00674B85"/>
    <w:rsid w:val="006751BA"/>
    <w:rsid w:val="006758A8"/>
    <w:rsid w:val="006772C9"/>
    <w:rsid w:val="00677641"/>
    <w:rsid w:val="006777FB"/>
    <w:rsid w:val="00677BF4"/>
    <w:rsid w:val="00682F28"/>
    <w:rsid w:val="0068336F"/>
    <w:rsid w:val="00683AD6"/>
    <w:rsid w:val="006847B1"/>
    <w:rsid w:val="00684BDF"/>
    <w:rsid w:val="00684DC5"/>
    <w:rsid w:val="006858F0"/>
    <w:rsid w:val="006879E5"/>
    <w:rsid w:val="00690437"/>
    <w:rsid w:val="00690E65"/>
    <w:rsid w:val="00692AAF"/>
    <w:rsid w:val="00693FB7"/>
    <w:rsid w:val="006946A7"/>
    <w:rsid w:val="00695421"/>
    <w:rsid w:val="00697DFA"/>
    <w:rsid w:val="006A0A00"/>
    <w:rsid w:val="006A6012"/>
    <w:rsid w:val="006A7210"/>
    <w:rsid w:val="006A7BE3"/>
    <w:rsid w:val="006B01D1"/>
    <w:rsid w:val="006B05E5"/>
    <w:rsid w:val="006B0AE2"/>
    <w:rsid w:val="006B0F39"/>
    <w:rsid w:val="006B15CC"/>
    <w:rsid w:val="006B18C3"/>
    <w:rsid w:val="006B266D"/>
    <w:rsid w:val="006B2FD5"/>
    <w:rsid w:val="006B4589"/>
    <w:rsid w:val="006B48DE"/>
    <w:rsid w:val="006B4D33"/>
    <w:rsid w:val="006B5EFA"/>
    <w:rsid w:val="006B6269"/>
    <w:rsid w:val="006B6FEE"/>
    <w:rsid w:val="006B7ABB"/>
    <w:rsid w:val="006C4F0E"/>
    <w:rsid w:val="006C5379"/>
    <w:rsid w:val="006C5F01"/>
    <w:rsid w:val="006C6E21"/>
    <w:rsid w:val="006C7798"/>
    <w:rsid w:val="006C7B02"/>
    <w:rsid w:val="006D009D"/>
    <w:rsid w:val="006D0C1D"/>
    <w:rsid w:val="006D3D09"/>
    <w:rsid w:val="006D415B"/>
    <w:rsid w:val="006D5532"/>
    <w:rsid w:val="006D7C85"/>
    <w:rsid w:val="006E0976"/>
    <w:rsid w:val="006E231B"/>
    <w:rsid w:val="006E24E1"/>
    <w:rsid w:val="006E3DFD"/>
    <w:rsid w:val="006E5DD8"/>
    <w:rsid w:val="006E67AA"/>
    <w:rsid w:val="006E7AA8"/>
    <w:rsid w:val="006F00EF"/>
    <w:rsid w:val="006F0291"/>
    <w:rsid w:val="006F0D98"/>
    <w:rsid w:val="006F2F2A"/>
    <w:rsid w:val="006F3231"/>
    <w:rsid w:val="006F3D7D"/>
    <w:rsid w:val="006F3DE3"/>
    <w:rsid w:val="006F4BF8"/>
    <w:rsid w:val="006F547F"/>
    <w:rsid w:val="006F5A12"/>
    <w:rsid w:val="006F6567"/>
    <w:rsid w:val="006F6AD5"/>
    <w:rsid w:val="006F70BC"/>
    <w:rsid w:val="006F7E1F"/>
    <w:rsid w:val="006F7F32"/>
    <w:rsid w:val="00702389"/>
    <w:rsid w:val="00702530"/>
    <w:rsid w:val="0070296A"/>
    <w:rsid w:val="00702A3B"/>
    <w:rsid w:val="00702D72"/>
    <w:rsid w:val="0070490E"/>
    <w:rsid w:val="00704A47"/>
    <w:rsid w:val="00707A90"/>
    <w:rsid w:val="00707E95"/>
    <w:rsid w:val="00711DC8"/>
    <w:rsid w:val="00714576"/>
    <w:rsid w:val="00714F54"/>
    <w:rsid w:val="00715837"/>
    <w:rsid w:val="00721F0C"/>
    <w:rsid w:val="00721F4A"/>
    <w:rsid w:val="00722033"/>
    <w:rsid w:val="007229D4"/>
    <w:rsid w:val="00724044"/>
    <w:rsid w:val="007267FD"/>
    <w:rsid w:val="0072791A"/>
    <w:rsid w:val="007310B9"/>
    <w:rsid w:val="00731B09"/>
    <w:rsid w:val="007332B8"/>
    <w:rsid w:val="00733FDB"/>
    <w:rsid w:val="00734A30"/>
    <w:rsid w:val="007366F9"/>
    <w:rsid w:val="00743818"/>
    <w:rsid w:val="00743BA9"/>
    <w:rsid w:val="00744517"/>
    <w:rsid w:val="007450CE"/>
    <w:rsid w:val="007457E0"/>
    <w:rsid w:val="00746D71"/>
    <w:rsid w:val="007478C5"/>
    <w:rsid w:val="00747DE2"/>
    <w:rsid w:val="00751656"/>
    <w:rsid w:val="007526EC"/>
    <w:rsid w:val="00752B53"/>
    <w:rsid w:val="00753CEE"/>
    <w:rsid w:val="00753F15"/>
    <w:rsid w:val="00753F40"/>
    <w:rsid w:val="00754641"/>
    <w:rsid w:val="00755813"/>
    <w:rsid w:val="00756521"/>
    <w:rsid w:val="00756AB7"/>
    <w:rsid w:val="007572AB"/>
    <w:rsid w:val="0076155A"/>
    <w:rsid w:val="00762354"/>
    <w:rsid w:val="00763189"/>
    <w:rsid w:val="007632F4"/>
    <w:rsid w:val="007666AA"/>
    <w:rsid w:val="00766720"/>
    <w:rsid w:val="00766B4B"/>
    <w:rsid w:val="00767435"/>
    <w:rsid w:val="007674D1"/>
    <w:rsid w:val="00767509"/>
    <w:rsid w:val="00770471"/>
    <w:rsid w:val="007705C5"/>
    <w:rsid w:val="00772586"/>
    <w:rsid w:val="007725BD"/>
    <w:rsid w:val="007726A6"/>
    <w:rsid w:val="00773AA7"/>
    <w:rsid w:val="0077693F"/>
    <w:rsid w:val="007773E9"/>
    <w:rsid w:val="007804E1"/>
    <w:rsid w:val="0078051E"/>
    <w:rsid w:val="00784A24"/>
    <w:rsid w:val="007857E1"/>
    <w:rsid w:val="00794625"/>
    <w:rsid w:val="007966FC"/>
    <w:rsid w:val="00797046"/>
    <w:rsid w:val="007A01DC"/>
    <w:rsid w:val="007A0332"/>
    <w:rsid w:val="007A09B7"/>
    <w:rsid w:val="007A1029"/>
    <w:rsid w:val="007A1CE0"/>
    <w:rsid w:val="007A20D1"/>
    <w:rsid w:val="007A3ED8"/>
    <w:rsid w:val="007A4B79"/>
    <w:rsid w:val="007A5161"/>
    <w:rsid w:val="007A5526"/>
    <w:rsid w:val="007A7863"/>
    <w:rsid w:val="007A799E"/>
    <w:rsid w:val="007A7FFA"/>
    <w:rsid w:val="007B0297"/>
    <w:rsid w:val="007B1609"/>
    <w:rsid w:val="007B191B"/>
    <w:rsid w:val="007B1FBE"/>
    <w:rsid w:val="007B21AE"/>
    <w:rsid w:val="007B3A20"/>
    <w:rsid w:val="007B4C40"/>
    <w:rsid w:val="007B6D64"/>
    <w:rsid w:val="007B716A"/>
    <w:rsid w:val="007B7293"/>
    <w:rsid w:val="007C0525"/>
    <w:rsid w:val="007C07B4"/>
    <w:rsid w:val="007C22F7"/>
    <w:rsid w:val="007C37FC"/>
    <w:rsid w:val="007C5F21"/>
    <w:rsid w:val="007C6882"/>
    <w:rsid w:val="007C7FFA"/>
    <w:rsid w:val="007D0C40"/>
    <w:rsid w:val="007D240C"/>
    <w:rsid w:val="007D3A63"/>
    <w:rsid w:val="007D3B86"/>
    <w:rsid w:val="007D4848"/>
    <w:rsid w:val="007D5FDC"/>
    <w:rsid w:val="007E1824"/>
    <w:rsid w:val="007E4147"/>
    <w:rsid w:val="007E4A9C"/>
    <w:rsid w:val="007E7DF9"/>
    <w:rsid w:val="007F0730"/>
    <w:rsid w:val="007F1638"/>
    <w:rsid w:val="007F7E4C"/>
    <w:rsid w:val="0080015B"/>
    <w:rsid w:val="0080110C"/>
    <w:rsid w:val="008014FC"/>
    <w:rsid w:val="00801FE6"/>
    <w:rsid w:val="00803F25"/>
    <w:rsid w:val="008041E4"/>
    <w:rsid w:val="00804A94"/>
    <w:rsid w:val="008055A9"/>
    <w:rsid w:val="00810E8E"/>
    <w:rsid w:val="008124D0"/>
    <w:rsid w:val="00813F96"/>
    <w:rsid w:val="008148A2"/>
    <w:rsid w:val="00817B9C"/>
    <w:rsid w:val="008214AE"/>
    <w:rsid w:val="00821B22"/>
    <w:rsid w:val="00821CAD"/>
    <w:rsid w:val="00822771"/>
    <w:rsid w:val="00822C60"/>
    <w:rsid w:val="00826AB9"/>
    <w:rsid w:val="00827AE7"/>
    <w:rsid w:val="00827CA8"/>
    <w:rsid w:val="00827E0F"/>
    <w:rsid w:val="00830CF4"/>
    <w:rsid w:val="008325B9"/>
    <w:rsid w:val="0083279F"/>
    <w:rsid w:val="00833B7F"/>
    <w:rsid w:val="0083524E"/>
    <w:rsid w:val="00835292"/>
    <w:rsid w:val="00835BC6"/>
    <w:rsid w:val="008373AB"/>
    <w:rsid w:val="00841B45"/>
    <w:rsid w:val="008430C0"/>
    <w:rsid w:val="00843114"/>
    <w:rsid w:val="00843F81"/>
    <w:rsid w:val="00847F0B"/>
    <w:rsid w:val="008511E8"/>
    <w:rsid w:val="00852F21"/>
    <w:rsid w:val="00853BF4"/>
    <w:rsid w:val="008577FF"/>
    <w:rsid w:val="00857DE2"/>
    <w:rsid w:val="00860A1F"/>
    <w:rsid w:val="008614B2"/>
    <w:rsid w:val="0086465C"/>
    <w:rsid w:val="00864E79"/>
    <w:rsid w:val="008668AB"/>
    <w:rsid w:val="00866A0D"/>
    <w:rsid w:val="00870582"/>
    <w:rsid w:val="0087186D"/>
    <w:rsid w:val="00872A32"/>
    <w:rsid w:val="00872B79"/>
    <w:rsid w:val="008747F1"/>
    <w:rsid w:val="00875002"/>
    <w:rsid w:val="008754DF"/>
    <w:rsid w:val="00875FC8"/>
    <w:rsid w:val="00876B58"/>
    <w:rsid w:val="00882B44"/>
    <w:rsid w:val="00883C8C"/>
    <w:rsid w:val="008841E3"/>
    <w:rsid w:val="00884344"/>
    <w:rsid w:val="008856F8"/>
    <w:rsid w:val="00886063"/>
    <w:rsid w:val="008871B0"/>
    <w:rsid w:val="00890316"/>
    <w:rsid w:val="0089253D"/>
    <w:rsid w:val="00892740"/>
    <w:rsid w:val="0089289F"/>
    <w:rsid w:val="00895D9A"/>
    <w:rsid w:val="00896351"/>
    <w:rsid w:val="008A0CB2"/>
    <w:rsid w:val="008A0FC9"/>
    <w:rsid w:val="008A234C"/>
    <w:rsid w:val="008A40D3"/>
    <w:rsid w:val="008A42EB"/>
    <w:rsid w:val="008A6BCC"/>
    <w:rsid w:val="008B09C4"/>
    <w:rsid w:val="008B173A"/>
    <w:rsid w:val="008B1E76"/>
    <w:rsid w:val="008B2E7C"/>
    <w:rsid w:val="008B784D"/>
    <w:rsid w:val="008B7FA7"/>
    <w:rsid w:val="008C13AA"/>
    <w:rsid w:val="008C1DA4"/>
    <w:rsid w:val="008C28CC"/>
    <w:rsid w:val="008C2CD5"/>
    <w:rsid w:val="008C3618"/>
    <w:rsid w:val="008C4771"/>
    <w:rsid w:val="008C54E1"/>
    <w:rsid w:val="008C731F"/>
    <w:rsid w:val="008D1C7F"/>
    <w:rsid w:val="008D1E23"/>
    <w:rsid w:val="008D309E"/>
    <w:rsid w:val="008D3902"/>
    <w:rsid w:val="008D5B9A"/>
    <w:rsid w:val="008D641D"/>
    <w:rsid w:val="008D7155"/>
    <w:rsid w:val="008D71B6"/>
    <w:rsid w:val="008E0FF9"/>
    <w:rsid w:val="008E3674"/>
    <w:rsid w:val="008E3825"/>
    <w:rsid w:val="008E3DC5"/>
    <w:rsid w:val="008E5D30"/>
    <w:rsid w:val="008E6687"/>
    <w:rsid w:val="008E6792"/>
    <w:rsid w:val="008E6856"/>
    <w:rsid w:val="008E6D1D"/>
    <w:rsid w:val="008E7245"/>
    <w:rsid w:val="008F177A"/>
    <w:rsid w:val="008F2FFA"/>
    <w:rsid w:val="008F5C6A"/>
    <w:rsid w:val="008F6532"/>
    <w:rsid w:val="008F69B8"/>
    <w:rsid w:val="008F7DFB"/>
    <w:rsid w:val="00900555"/>
    <w:rsid w:val="0090059A"/>
    <w:rsid w:val="00901192"/>
    <w:rsid w:val="009027F2"/>
    <w:rsid w:val="00902EE1"/>
    <w:rsid w:val="00905D7E"/>
    <w:rsid w:val="00906215"/>
    <w:rsid w:val="00906630"/>
    <w:rsid w:val="00906F6E"/>
    <w:rsid w:val="00910798"/>
    <w:rsid w:val="009134FC"/>
    <w:rsid w:val="0091405C"/>
    <w:rsid w:val="00914329"/>
    <w:rsid w:val="009156DA"/>
    <w:rsid w:val="00915EC2"/>
    <w:rsid w:val="00917412"/>
    <w:rsid w:val="00917F30"/>
    <w:rsid w:val="00920104"/>
    <w:rsid w:val="00920184"/>
    <w:rsid w:val="00920EA4"/>
    <w:rsid w:val="00921254"/>
    <w:rsid w:val="0092150B"/>
    <w:rsid w:val="009216F9"/>
    <w:rsid w:val="00922303"/>
    <w:rsid w:val="00926500"/>
    <w:rsid w:val="009266EA"/>
    <w:rsid w:val="00926ABC"/>
    <w:rsid w:val="00927B37"/>
    <w:rsid w:val="0093160E"/>
    <w:rsid w:val="00932156"/>
    <w:rsid w:val="009336B2"/>
    <w:rsid w:val="00933981"/>
    <w:rsid w:val="00934DD7"/>
    <w:rsid w:val="00937853"/>
    <w:rsid w:val="00937FC3"/>
    <w:rsid w:val="00941396"/>
    <w:rsid w:val="00941448"/>
    <w:rsid w:val="00941723"/>
    <w:rsid w:val="00942306"/>
    <w:rsid w:val="00942A33"/>
    <w:rsid w:val="00943FFC"/>
    <w:rsid w:val="00945225"/>
    <w:rsid w:val="009454F3"/>
    <w:rsid w:val="009458B0"/>
    <w:rsid w:val="00947424"/>
    <w:rsid w:val="009478A2"/>
    <w:rsid w:val="009503A9"/>
    <w:rsid w:val="00950884"/>
    <w:rsid w:val="009508A2"/>
    <w:rsid w:val="0095197E"/>
    <w:rsid w:val="00951DBF"/>
    <w:rsid w:val="00952507"/>
    <w:rsid w:val="00953078"/>
    <w:rsid w:val="00953276"/>
    <w:rsid w:val="00953508"/>
    <w:rsid w:val="00955FBB"/>
    <w:rsid w:val="00956585"/>
    <w:rsid w:val="00956A66"/>
    <w:rsid w:val="00956BD5"/>
    <w:rsid w:val="009577B5"/>
    <w:rsid w:val="009616E7"/>
    <w:rsid w:val="0096269B"/>
    <w:rsid w:val="00965664"/>
    <w:rsid w:val="00965816"/>
    <w:rsid w:val="00966253"/>
    <w:rsid w:val="00966522"/>
    <w:rsid w:val="00967329"/>
    <w:rsid w:val="009676C1"/>
    <w:rsid w:val="00970FFF"/>
    <w:rsid w:val="00971C95"/>
    <w:rsid w:val="00971CF1"/>
    <w:rsid w:val="0097286F"/>
    <w:rsid w:val="00976805"/>
    <w:rsid w:val="0097723F"/>
    <w:rsid w:val="00980777"/>
    <w:rsid w:val="009819B7"/>
    <w:rsid w:val="00982F8E"/>
    <w:rsid w:val="00983E22"/>
    <w:rsid w:val="0098534E"/>
    <w:rsid w:val="009859DD"/>
    <w:rsid w:val="00985C3D"/>
    <w:rsid w:val="009864E0"/>
    <w:rsid w:val="00990225"/>
    <w:rsid w:val="00992EB6"/>
    <w:rsid w:val="009934DA"/>
    <w:rsid w:val="00995D67"/>
    <w:rsid w:val="009A0482"/>
    <w:rsid w:val="009A303A"/>
    <w:rsid w:val="009A453B"/>
    <w:rsid w:val="009A6316"/>
    <w:rsid w:val="009A6559"/>
    <w:rsid w:val="009A6C49"/>
    <w:rsid w:val="009B1C2B"/>
    <w:rsid w:val="009B20F5"/>
    <w:rsid w:val="009B21F6"/>
    <w:rsid w:val="009B2F9B"/>
    <w:rsid w:val="009B3647"/>
    <w:rsid w:val="009B4A6C"/>
    <w:rsid w:val="009B5801"/>
    <w:rsid w:val="009B731D"/>
    <w:rsid w:val="009C01A4"/>
    <w:rsid w:val="009C1A29"/>
    <w:rsid w:val="009C34D1"/>
    <w:rsid w:val="009C360E"/>
    <w:rsid w:val="009C36FF"/>
    <w:rsid w:val="009C6322"/>
    <w:rsid w:val="009C64A2"/>
    <w:rsid w:val="009C6CE5"/>
    <w:rsid w:val="009C6D50"/>
    <w:rsid w:val="009C7244"/>
    <w:rsid w:val="009C7321"/>
    <w:rsid w:val="009D0935"/>
    <w:rsid w:val="009D1878"/>
    <w:rsid w:val="009D1B1D"/>
    <w:rsid w:val="009D2F60"/>
    <w:rsid w:val="009D526D"/>
    <w:rsid w:val="009D6DD9"/>
    <w:rsid w:val="009D7321"/>
    <w:rsid w:val="009D77B3"/>
    <w:rsid w:val="009E0C5F"/>
    <w:rsid w:val="009E24FE"/>
    <w:rsid w:val="009E4070"/>
    <w:rsid w:val="009E444E"/>
    <w:rsid w:val="009E4857"/>
    <w:rsid w:val="009E6480"/>
    <w:rsid w:val="009E693D"/>
    <w:rsid w:val="009E7554"/>
    <w:rsid w:val="009F1A79"/>
    <w:rsid w:val="009F252C"/>
    <w:rsid w:val="009F3160"/>
    <w:rsid w:val="009F42FB"/>
    <w:rsid w:val="009F49DC"/>
    <w:rsid w:val="009F4C84"/>
    <w:rsid w:val="009F5C8C"/>
    <w:rsid w:val="009F65F4"/>
    <w:rsid w:val="009F676B"/>
    <w:rsid w:val="009F69AF"/>
    <w:rsid w:val="009F7A77"/>
    <w:rsid w:val="00A00C70"/>
    <w:rsid w:val="00A0146E"/>
    <w:rsid w:val="00A01B03"/>
    <w:rsid w:val="00A01B5D"/>
    <w:rsid w:val="00A02169"/>
    <w:rsid w:val="00A02C66"/>
    <w:rsid w:val="00A0464C"/>
    <w:rsid w:val="00A046FE"/>
    <w:rsid w:val="00A04E0A"/>
    <w:rsid w:val="00A05464"/>
    <w:rsid w:val="00A054E0"/>
    <w:rsid w:val="00A06D10"/>
    <w:rsid w:val="00A11042"/>
    <w:rsid w:val="00A116F8"/>
    <w:rsid w:val="00A11C37"/>
    <w:rsid w:val="00A132F6"/>
    <w:rsid w:val="00A133D8"/>
    <w:rsid w:val="00A155EB"/>
    <w:rsid w:val="00A15DE9"/>
    <w:rsid w:val="00A168A2"/>
    <w:rsid w:val="00A17226"/>
    <w:rsid w:val="00A17BA5"/>
    <w:rsid w:val="00A20672"/>
    <w:rsid w:val="00A245BF"/>
    <w:rsid w:val="00A24FEA"/>
    <w:rsid w:val="00A25A00"/>
    <w:rsid w:val="00A265E5"/>
    <w:rsid w:val="00A269F6"/>
    <w:rsid w:val="00A30B84"/>
    <w:rsid w:val="00A3467F"/>
    <w:rsid w:val="00A35262"/>
    <w:rsid w:val="00A3532F"/>
    <w:rsid w:val="00A36F93"/>
    <w:rsid w:val="00A37F8E"/>
    <w:rsid w:val="00A4177F"/>
    <w:rsid w:val="00A43237"/>
    <w:rsid w:val="00A45455"/>
    <w:rsid w:val="00A45CAB"/>
    <w:rsid w:val="00A4706F"/>
    <w:rsid w:val="00A47ECC"/>
    <w:rsid w:val="00A47FD7"/>
    <w:rsid w:val="00A50171"/>
    <w:rsid w:val="00A5102E"/>
    <w:rsid w:val="00A51E08"/>
    <w:rsid w:val="00A52282"/>
    <w:rsid w:val="00A5334E"/>
    <w:rsid w:val="00A552BC"/>
    <w:rsid w:val="00A563A2"/>
    <w:rsid w:val="00A563F6"/>
    <w:rsid w:val="00A575B8"/>
    <w:rsid w:val="00A6032D"/>
    <w:rsid w:val="00A61753"/>
    <w:rsid w:val="00A6206B"/>
    <w:rsid w:val="00A62774"/>
    <w:rsid w:val="00A642E5"/>
    <w:rsid w:val="00A6451C"/>
    <w:rsid w:val="00A647B1"/>
    <w:rsid w:val="00A6499A"/>
    <w:rsid w:val="00A6606B"/>
    <w:rsid w:val="00A676E7"/>
    <w:rsid w:val="00A67B72"/>
    <w:rsid w:val="00A70216"/>
    <w:rsid w:val="00A71B35"/>
    <w:rsid w:val="00A72BC3"/>
    <w:rsid w:val="00A736F5"/>
    <w:rsid w:val="00A739A6"/>
    <w:rsid w:val="00A75FE0"/>
    <w:rsid w:val="00A7665D"/>
    <w:rsid w:val="00A76A2D"/>
    <w:rsid w:val="00A76EE4"/>
    <w:rsid w:val="00A82F56"/>
    <w:rsid w:val="00A82FE9"/>
    <w:rsid w:val="00A83AFC"/>
    <w:rsid w:val="00A86B91"/>
    <w:rsid w:val="00A90F5E"/>
    <w:rsid w:val="00A92155"/>
    <w:rsid w:val="00A9246D"/>
    <w:rsid w:val="00A97821"/>
    <w:rsid w:val="00AA02B2"/>
    <w:rsid w:val="00AA2B5C"/>
    <w:rsid w:val="00AA2F64"/>
    <w:rsid w:val="00AA313A"/>
    <w:rsid w:val="00AA577F"/>
    <w:rsid w:val="00AA6328"/>
    <w:rsid w:val="00AB03FD"/>
    <w:rsid w:val="00AB1042"/>
    <w:rsid w:val="00AB1246"/>
    <w:rsid w:val="00AB1375"/>
    <w:rsid w:val="00AB270B"/>
    <w:rsid w:val="00AB38CB"/>
    <w:rsid w:val="00AB524D"/>
    <w:rsid w:val="00AB577E"/>
    <w:rsid w:val="00AB67EB"/>
    <w:rsid w:val="00AB6EE0"/>
    <w:rsid w:val="00AB726F"/>
    <w:rsid w:val="00AC0213"/>
    <w:rsid w:val="00AC2884"/>
    <w:rsid w:val="00AC4725"/>
    <w:rsid w:val="00AC6052"/>
    <w:rsid w:val="00AC6060"/>
    <w:rsid w:val="00AC79A6"/>
    <w:rsid w:val="00AC7C7D"/>
    <w:rsid w:val="00AD4467"/>
    <w:rsid w:val="00AD5996"/>
    <w:rsid w:val="00AD5E0C"/>
    <w:rsid w:val="00AD5E70"/>
    <w:rsid w:val="00AD6206"/>
    <w:rsid w:val="00AD6372"/>
    <w:rsid w:val="00AD777D"/>
    <w:rsid w:val="00AE06B4"/>
    <w:rsid w:val="00AE0D67"/>
    <w:rsid w:val="00AE123A"/>
    <w:rsid w:val="00AE17E5"/>
    <w:rsid w:val="00AE2583"/>
    <w:rsid w:val="00AE2BBF"/>
    <w:rsid w:val="00AE33A6"/>
    <w:rsid w:val="00AE3B97"/>
    <w:rsid w:val="00AE71DF"/>
    <w:rsid w:val="00AF1962"/>
    <w:rsid w:val="00AF2241"/>
    <w:rsid w:val="00AF3ADA"/>
    <w:rsid w:val="00AF45DB"/>
    <w:rsid w:val="00AF59DA"/>
    <w:rsid w:val="00AF7163"/>
    <w:rsid w:val="00AF78B9"/>
    <w:rsid w:val="00AF7941"/>
    <w:rsid w:val="00B00021"/>
    <w:rsid w:val="00B012FD"/>
    <w:rsid w:val="00B02365"/>
    <w:rsid w:val="00B02C1E"/>
    <w:rsid w:val="00B02F60"/>
    <w:rsid w:val="00B037A4"/>
    <w:rsid w:val="00B0440E"/>
    <w:rsid w:val="00B0561D"/>
    <w:rsid w:val="00B05BE8"/>
    <w:rsid w:val="00B05DAB"/>
    <w:rsid w:val="00B05F86"/>
    <w:rsid w:val="00B07367"/>
    <w:rsid w:val="00B073FE"/>
    <w:rsid w:val="00B10050"/>
    <w:rsid w:val="00B10F5A"/>
    <w:rsid w:val="00B11418"/>
    <w:rsid w:val="00B115E6"/>
    <w:rsid w:val="00B129EA"/>
    <w:rsid w:val="00B1364A"/>
    <w:rsid w:val="00B148C0"/>
    <w:rsid w:val="00B14B75"/>
    <w:rsid w:val="00B15F2B"/>
    <w:rsid w:val="00B17220"/>
    <w:rsid w:val="00B20BA1"/>
    <w:rsid w:val="00B20F18"/>
    <w:rsid w:val="00B21849"/>
    <w:rsid w:val="00B220B7"/>
    <w:rsid w:val="00B23239"/>
    <w:rsid w:val="00B23738"/>
    <w:rsid w:val="00B25EE6"/>
    <w:rsid w:val="00B32301"/>
    <w:rsid w:val="00B32BED"/>
    <w:rsid w:val="00B33375"/>
    <w:rsid w:val="00B34566"/>
    <w:rsid w:val="00B34BFA"/>
    <w:rsid w:val="00B354E9"/>
    <w:rsid w:val="00B42CFF"/>
    <w:rsid w:val="00B43D45"/>
    <w:rsid w:val="00B44779"/>
    <w:rsid w:val="00B44B64"/>
    <w:rsid w:val="00B501FE"/>
    <w:rsid w:val="00B50234"/>
    <w:rsid w:val="00B504F7"/>
    <w:rsid w:val="00B50CA4"/>
    <w:rsid w:val="00B51D56"/>
    <w:rsid w:val="00B52C68"/>
    <w:rsid w:val="00B561DB"/>
    <w:rsid w:val="00B56F25"/>
    <w:rsid w:val="00B571DD"/>
    <w:rsid w:val="00B61BD8"/>
    <w:rsid w:val="00B61E67"/>
    <w:rsid w:val="00B64518"/>
    <w:rsid w:val="00B65D0F"/>
    <w:rsid w:val="00B66FE5"/>
    <w:rsid w:val="00B70AE9"/>
    <w:rsid w:val="00B71051"/>
    <w:rsid w:val="00B718EB"/>
    <w:rsid w:val="00B72454"/>
    <w:rsid w:val="00B73BA1"/>
    <w:rsid w:val="00B7562B"/>
    <w:rsid w:val="00B767C3"/>
    <w:rsid w:val="00B76D1D"/>
    <w:rsid w:val="00B7768F"/>
    <w:rsid w:val="00B80270"/>
    <w:rsid w:val="00B837C5"/>
    <w:rsid w:val="00B858A0"/>
    <w:rsid w:val="00B85A85"/>
    <w:rsid w:val="00B913E4"/>
    <w:rsid w:val="00B934C6"/>
    <w:rsid w:val="00B95143"/>
    <w:rsid w:val="00BA1440"/>
    <w:rsid w:val="00BA21C8"/>
    <w:rsid w:val="00BA4524"/>
    <w:rsid w:val="00BA478B"/>
    <w:rsid w:val="00BA51E2"/>
    <w:rsid w:val="00BB0B03"/>
    <w:rsid w:val="00BB1E2B"/>
    <w:rsid w:val="00BB26D0"/>
    <w:rsid w:val="00BB41E5"/>
    <w:rsid w:val="00BB4B75"/>
    <w:rsid w:val="00BB6EFC"/>
    <w:rsid w:val="00BB7058"/>
    <w:rsid w:val="00BB7742"/>
    <w:rsid w:val="00BC08C9"/>
    <w:rsid w:val="00BC516E"/>
    <w:rsid w:val="00BC6E73"/>
    <w:rsid w:val="00BD086E"/>
    <w:rsid w:val="00BD413F"/>
    <w:rsid w:val="00BD5134"/>
    <w:rsid w:val="00BD6EF9"/>
    <w:rsid w:val="00BD7785"/>
    <w:rsid w:val="00BD7B85"/>
    <w:rsid w:val="00BE1CD8"/>
    <w:rsid w:val="00BE2457"/>
    <w:rsid w:val="00BE2912"/>
    <w:rsid w:val="00BE4B51"/>
    <w:rsid w:val="00BE51CA"/>
    <w:rsid w:val="00BE79A5"/>
    <w:rsid w:val="00BE7E34"/>
    <w:rsid w:val="00BE7E42"/>
    <w:rsid w:val="00BF0806"/>
    <w:rsid w:val="00BF0AC2"/>
    <w:rsid w:val="00BF1945"/>
    <w:rsid w:val="00BF278E"/>
    <w:rsid w:val="00BF33B3"/>
    <w:rsid w:val="00BF3538"/>
    <w:rsid w:val="00BF36F6"/>
    <w:rsid w:val="00BF3EE5"/>
    <w:rsid w:val="00BF4342"/>
    <w:rsid w:val="00BF4F21"/>
    <w:rsid w:val="00BF5DEF"/>
    <w:rsid w:val="00BF5E1F"/>
    <w:rsid w:val="00BF6DB4"/>
    <w:rsid w:val="00BF746D"/>
    <w:rsid w:val="00C003F9"/>
    <w:rsid w:val="00C011B8"/>
    <w:rsid w:val="00C012F6"/>
    <w:rsid w:val="00C017FE"/>
    <w:rsid w:val="00C03581"/>
    <w:rsid w:val="00C04898"/>
    <w:rsid w:val="00C04AAA"/>
    <w:rsid w:val="00C058AF"/>
    <w:rsid w:val="00C062E6"/>
    <w:rsid w:val="00C11343"/>
    <w:rsid w:val="00C11C07"/>
    <w:rsid w:val="00C126BE"/>
    <w:rsid w:val="00C128AE"/>
    <w:rsid w:val="00C13739"/>
    <w:rsid w:val="00C1373D"/>
    <w:rsid w:val="00C141FE"/>
    <w:rsid w:val="00C144D9"/>
    <w:rsid w:val="00C14915"/>
    <w:rsid w:val="00C1656E"/>
    <w:rsid w:val="00C20F27"/>
    <w:rsid w:val="00C22B0D"/>
    <w:rsid w:val="00C22E35"/>
    <w:rsid w:val="00C2518C"/>
    <w:rsid w:val="00C260A4"/>
    <w:rsid w:val="00C269D2"/>
    <w:rsid w:val="00C26CE9"/>
    <w:rsid w:val="00C26F08"/>
    <w:rsid w:val="00C310A4"/>
    <w:rsid w:val="00C31382"/>
    <w:rsid w:val="00C330B8"/>
    <w:rsid w:val="00C35B31"/>
    <w:rsid w:val="00C360B3"/>
    <w:rsid w:val="00C36AD3"/>
    <w:rsid w:val="00C37027"/>
    <w:rsid w:val="00C40D83"/>
    <w:rsid w:val="00C40F25"/>
    <w:rsid w:val="00C43670"/>
    <w:rsid w:val="00C4414B"/>
    <w:rsid w:val="00C46217"/>
    <w:rsid w:val="00C4698D"/>
    <w:rsid w:val="00C46A94"/>
    <w:rsid w:val="00C51178"/>
    <w:rsid w:val="00C52479"/>
    <w:rsid w:val="00C52C59"/>
    <w:rsid w:val="00C5383F"/>
    <w:rsid w:val="00C540B7"/>
    <w:rsid w:val="00C54D3D"/>
    <w:rsid w:val="00C55690"/>
    <w:rsid w:val="00C60381"/>
    <w:rsid w:val="00C61CFF"/>
    <w:rsid w:val="00C642D3"/>
    <w:rsid w:val="00C64338"/>
    <w:rsid w:val="00C6490C"/>
    <w:rsid w:val="00C64FE7"/>
    <w:rsid w:val="00C71433"/>
    <w:rsid w:val="00C73100"/>
    <w:rsid w:val="00C74ADB"/>
    <w:rsid w:val="00C75B5B"/>
    <w:rsid w:val="00C8063F"/>
    <w:rsid w:val="00C828DB"/>
    <w:rsid w:val="00C82A71"/>
    <w:rsid w:val="00C82EA6"/>
    <w:rsid w:val="00C87879"/>
    <w:rsid w:val="00C87CFD"/>
    <w:rsid w:val="00C975C2"/>
    <w:rsid w:val="00CA05D3"/>
    <w:rsid w:val="00CA25C0"/>
    <w:rsid w:val="00CA28B6"/>
    <w:rsid w:val="00CA3524"/>
    <w:rsid w:val="00CA4948"/>
    <w:rsid w:val="00CA4F8D"/>
    <w:rsid w:val="00CA513D"/>
    <w:rsid w:val="00CA6441"/>
    <w:rsid w:val="00CA7853"/>
    <w:rsid w:val="00CA7891"/>
    <w:rsid w:val="00CB0A9D"/>
    <w:rsid w:val="00CB304C"/>
    <w:rsid w:val="00CB376E"/>
    <w:rsid w:val="00CB43C1"/>
    <w:rsid w:val="00CB4F92"/>
    <w:rsid w:val="00CB5A28"/>
    <w:rsid w:val="00CB5CB2"/>
    <w:rsid w:val="00CB784E"/>
    <w:rsid w:val="00CC004A"/>
    <w:rsid w:val="00CC0AF7"/>
    <w:rsid w:val="00CC1A6F"/>
    <w:rsid w:val="00CC1BA0"/>
    <w:rsid w:val="00CC348F"/>
    <w:rsid w:val="00CC3F91"/>
    <w:rsid w:val="00CC438F"/>
    <w:rsid w:val="00CC4A76"/>
    <w:rsid w:val="00CC544A"/>
    <w:rsid w:val="00CC57EA"/>
    <w:rsid w:val="00CC6097"/>
    <w:rsid w:val="00CC6992"/>
    <w:rsid w:val="00CC6A0C"/>
    <w:rsid w:val="00CC7466"/>
    <w:rsid w:val="00CD05A0"/>
    <w:rsid w:val="00CD1826"/>
    <w:rsid w:val="00CD33CB"/>
    <w:rsid w:val="00CD437E"/>
    <w:rsid w:val="00CD47EB"/>
    <w:rsid w:val="00CD4989"/>
    <w:rsid w:val="00CD54B4"/>
    <w:rsid w:val="00CD55A6"/>
    <w:rsid w:val="00CD590C"/>
    <w:rsid w:val="00CD5DAD"/>
    <w:rsid w:val="00CD6386"/>
    <w:rsid w:val="00CD770E"/>
    <w:rsid w:val="00CD7CE2"/>
    <w:rsid w:val="00CE0789"/>
    <w:rsid w:val="00CE1A03"/>
    <w:rsid w:val="00CE2FBC"/>
    <w:rsid w:val="00CE34DF"/>
    <w:rsid w:val="00CE353B"/>
    <w:rsid w:val="00CE3962"/>
    <w:rsid w:val="00CE56BD"/>
    <w:rsid w:val="00CE6089"/>
    <w:rsid w:val="00CE68EF"/>
    <w:rsid w:val="00CF1D6D"/>
    <w:rsid w:val="00CF2482"/>
    <w:rsid w:val="00CF2BE2"/>
    <w:rsid w:val="00CF2C0E"/>
    <w:rsid w:val="00CF2DCC"/>
    <w:rsid w:val="00CF3119"/>
    <w:rsid w:val="00CF531D"/>
    <w:rsid w:val="00CF5BCD"/>
    <w:rsid w:val="00CF6144"/>
    <w:rsid w:val="00CF7E54"/>
    <w:rsid w:val="00D00204"/>
    <w:rsid w:val="00D006A7"/>
    <w:rsid w:val="00D00FD7"/>
    <w:rsid w:val="00D01C39"/>
    <w:rsid w:val="00D01CF9"/>
    <w:rsid w:val="00D02DDB"/>
    <w:rsid w:val="00D02F9F"/>
    <w:rsid w:val="00D03194"/>
    <w:rsid w:val="00D03234"/>
    <w:rsid w:val="00D0334D"/>
    <w:rsid w:val="00D0358B"/>
    <w:rsid w:val="00D037D6"/>
    <w:rsid w:val="00D0503C"/>
    <w:rsid w:val="00D05839"/>
    <w:rsid w:val="00D05AE2"/>
    <w:rsid w:val="00D06542"/>
    <w:rsid w:val="00D06C72"/>
    <w:rsid w:val="00D117C1"/>
    <w:rsid w:val="00D12587"/>
    <w:rsid w:val="00D13B06"/>
    <w:rsid w:val="00D156C9"/>
    <w:rsid w:val="00D15921"/>
    <w:rsid w:val="00D15FAA"/>
    <w:rsid w:val="00D17019"/>
    <w:rsid w:val="00D172F3"/>
    <w:rsid w:val="00D1780A"/>
    <w:rsid w:val="00D17ACE"/>
    <w:rsid w:val="00D200BA"/>
    <w:rsid w:val="00D202D8"/>
    <w:rsid w:val="00D20D54"/>
    <w:rsid w:val="00D21168"/>
    <w:rsid w:val="00D219C8"/>
    <w:rsid w:val="00D22DF2"/>
    <w:rsid w:val="00D2410C"/>
    <w:rsid w:val="00D2438C"/>
    <w:rsid w:val="00D26033"/>
    <w:rsid w:val="00D26CED"/>
    <w:rsid w:val="00D26F9F"/>
    <w:rsid w:val="00D27185"/>
    <w:rsid w:val="00D304AF"/>
    <w:rsid w:val="00D336C3"/>
    <w:rsid w:val="00D33767"/>
    <w:rsid w:val="00D33AB3"/>
    <w:rsid w:val="00D33B7A"/>
    <w:rsid w:val="00D35AE2"/>
    <w:rsid w:val="00D371E5"/>
    <w:rsid w:val="00D4023D"/>
    <w:rsid w:val="00D4072D"/>
    <w:rsid w:val="00D40748"/>
    <w:rsid w:val="00D42ED9"/>
    <w:rsid w:val="00D435F0"/>
    <w:rsid w:val="00D44613"/>
    <w:rsid w:val="00D468B8"/>
    <w:rsid w:val="00D471AF"/>
    <w:rsid w:val="00D50519"/>
    <w:rsid w:val="00D51CF6"/>
    <w:rsid w:val="00D52541"/>
    <w:rsid w:val="00D55951"/>
    <w:rsid w:val="00D55A17"/>
    <w:rsid w:val="00D56796"/>
    <w:rsid w:val="00D56824"/>
    <w:rsid w:val="00D602E7"/>
    <w:rsid w:val="00D640F6"/>
    <w:rsid w:val="00D645A3"/>
    <w:rsid w:val="00D66D8B"/>
    <w:rsid w:val="00D675ED"/>
    <w:rsid w:val="00D679B0"/>
    <w:rsid w:val="00D73C2C"/>
    <w:rsid w:val="00D76308"/>
    <w:rsid w:val="00D76575"/>
    <w:rsid w:val="00D768CE"/>
    <w:rsid w:val="00D778FE"/>
    <w:rsid w:val="00D809CC"/>
    <w:rsid w:val="00D80DF3"/>
    <w:rsid w:val="00D8259F"/>
    <w:rsid w:val="00D844B3"/>
    <w:rsid w:val="00D84F27"/>
    <w:rsid w:val="00D8564E"/>
    <w:rsid w:val="00D85910"/>
    <w:rsid w:val="00D85FA1"/>
    <w:rsid w:val="00D86496"/>
    <w:rsid w:val="00D86B4C"/>
    <w:rsid w:val="00D86D48"/>
    <w:rsid w:val="00D86FB2"/>
    <w:rsid w:val="00D87652"/>
    <w:rsid w:val="00D903FC"/>
    <w:rsid w:val="00D91A4A"/>
    <w:rsid w:val="00D91E17"/>
    <w:rsid w:val="00D92976"/>
    <w:rsid w:val="00D92BC7"/>
    <w:rsid w:val="00D946A9"/>
    <w:rsid w:val="00D97A45"/>
    <w:rsid w:val="00D97F4E"/>
    <w:rsid w:val="00DA153A"/>
    <w:rsid w:val="00DA240D"/>
    <w:rsid w:val="00DA4DD7"/>
    <w:rsid w:val="00DA5F71"/>
    <w:rsid w:val="00DA625B"/>
    <w:rsid w:val="00DB011E"/>
    <w:rsid w:val="00DB2FA5"/>
    <w:rsid w:val="00DB4224"/>
    <w:rsid w:val="00DB661F"/>
    <w:rsid w:val="00DB6C27"/>
    <w:rsid w:val="00DB6DA3"/>
    <w:rsid w:val="00DC0BB7"/>
    <w:rsid w:val="00DC4447"/>
    <w:rsid w:val="00DC67B1"/>
    <w:rsid w:val="00DC6EBB"/>
    <w:rsid w:val="00DC7CF1"/>
    <w:rsid w:val="00DC7FDF"/>
    <w:rsid w:val="00DD1A40"/>
    <w:rsid w:val="00DD276E"/>
    <w:rsid w:val="00DD58BE"/>
    <w:rsid w:val="00DD6AEA"/>
    <w:rsid w:val="00DE1BF5"/>
    <w:rsid w:val="00DF0403"/>
    <w:rsid w:val="00DF0EC1"/>
    <w:rsid w:val="00DF1299"/>
    <w:rsid w:val="00DF1758"/>
    <w:rsid w:val="00DF1ADD"/>
    <w:rsid w:val="00DF22C1"/>
    <w:rsid w:val="00DF23A8"/>
    <w:rsid w:val="00DF343D"/>
    <w:rsid w:val="00DF5696"/>
    <w:rsid w:val="00DF6CCC"/>
    <w:rsid w:val="00DF6F64"/>
    <w:rsid w:val="00DF721E"/>
    <w:rsid w:val="00DF7B22"/>
    <w:rsid w:val="00DF7E84"/>
    <w:rsid w:val="00E02E63"/>
    <w:rsid w:val="00E03628"/>
    <w:rsid w:val="00E0366A"/>
    <w:rsid w:val="00E0493E"/>
    <w:rsid w:val="00E04A10"/>
    <w:rsid w:val="00E05388"/>
    <w:rsid w:val="00E0570B"/>
    <w:rsid w:val="00E0635B"/>
    <w:rsid w:val="00E07669"/>
    <w:rsid w:val="00E10AC3"/>
    <w:rsid w:val="00E10C2A"/>
    <w:rsid w:val="00E10DBA"/>
    <w:rsid w:val="00E12731"/>
    <w:rsid w:val="00E15912"/>
    <w:rsid w:val="00E159AA"/>
    <w:rsid w:val="00E214D7"/>
    <w:rsid w:val="00E219CE"/>
    <w:rsid w:val="00E2273F"/>
    <w:rsid w:val="00E22D8F"/>
    <w:rsid w:val="00E239F4"/>
    <w:rsid w:val="00E2454B"/>
    <w:rsid w:val="00E2495C"/>
    <w:rsid w:val="00E24CC4"/>
    <w:rsid w:val="00E24EBC"/>
    <w:rsid w:val="00E2522C"/>
    <w:rsid w:val="00E2584E"/>
    <w:rsid w:val="00E26194"/>
    <w:rsid w:val="00E27271"/>
    <w:rsid w:val="00E279C7"/>
    <w:rsid w:val="00E27C5F"/>
    <w:rsid w:val="00E27CB7"/>
    <w:rsid w:val="00E30519"/>
    <w:rsid w:val="00E32F09"/>
    <w:rsid w:val="00E349E9"/>
    <w:rsid w:val="00E403B7"/>
    <w:rsid w:val="00E40D0B"/>
    <w:rsid w:val="00E41D36"/>
    <w:rsid w:val="00E422BE"/>
    <w:rsid w:val="00E425E0"/>
    <w:rsid w:val="00E43AE5"/>
    <w:rsid w:val="00E43B24"/>
    <w:rsid w:val="00E44C65"/>
    <w:rsid w:val="00E47BFC"/>
    <w:rsid w:val="00E47EC7"/>
    <w:rsid w:val="00E51B8B"/>
    <w:rsid w:val="00E52EB9"/>
    <w:rsid w:val="00E53730"/>
    <w:rsid w:val="00E54511"/>
    <w:rsid w:val="00E5476D"/>
    <w:rsid w:val="00E57577"/>
    <w:rsid w:val="00E6131A"/>
    <w:rsid w:val="00E67E96"/>
    <w:rsid w:val="00E727A8"/>
    <w:rsid w:val="00E72830"/>
    <w:rsid w:val="00E72D94"/>
    <w:rsid w:val="00E741A3"/>
    <w:rsid w:val="00E745C3"/>
    <w:rsid w:val="00E749E8"/>
    <w:rsid w:val="00E75EF0"/>
    <w:rsid w:val="00E7713B"/>
    <w:rsid w:val="00E80AE4"/>
    <w:rsid w:val="00E80B71"/>
    <w:rsid w:val="00E8251E"/>
    <w:rsid w:val="00E8291B"/>
    <w:rsid w:val="00E82CDE"/>
    <w:rsid w:val="00E8419F"/>
    <w:rsid w:val="00E84B86"/>
    <w:rsid w:val="00E85454"/>
    <w:rsid w:val="00E855F7"/>
    <w:rsid w:val="00E86CCF"/>
    <w:rsid w:val="00E871A3"/>
    <w:rsid w:val="00E8789F"/>
    <w:rsid w:val="00E91044"/>
    <w:rsid w:val="00E910D3"/>
    <w:rsid w:val="00E91575"/>
    <w:rsid w:val="00E9269E"/>
    <w:rsid w:val="00E93CB2"/>
    <w:rsid w:val="00E96851"/>
    <w:rsid w:val="00E96AAE"/>
    <w:rsid w:val="00EB05D0"/>
    <w:rsid w:val="00EB1D49"/>
    <w:rsid w:val="00EB1DE6"/>
    <w:rsid w:val="00EB1E93"/>
    <w:rsid w:val="00EB204B"/>
    <w:rsid w:val="00EB3609"/>
    <w:rsid w:val="00EB5DCC"/>
    <w:rsid w:val="00EB61D8"/>
    <w:rsid w:val="00EB7B78"/>
    <w:rsid w:val="00EC15B9"/>
    <w:rsid w:val="00EC1B78"/>
    <w:rsid w:val="00EC2584"/>
    <w:rsid w:val="00EC2A2B"/>
    <w:rsid w:val="00EC2C01"/>
    <w:rsid w:val="00EC3570"/>
    <w:rsid w:val="00EC69D9"/>
    <w:rsid w:val="00EC7024"/>
    <w:rsid w:val="00EC716B"/>
    <w:rsid w:val="00EC7730"/>
    <w:rsid w:val="00ED0046"/>
    <w:rsid w:val="00ED127E"/>
    <w:rsid w:val="00ED144D"/>
    <w:rsid w:val="00ED287C"/>
    <w:rsid w:val="00ED3525"/>
    <w:rsid w:val="00ED6C2B"/>
    <w:rsid w:val="00ED7B00"/>
    <w:rsid w:val="00EE0F3D"/>
    <w:rsid w:val="00EE1C92"/>
    <w:rsid w:val="00EE375E"/>
    <w:rsid w:val="00EE3B50"/>
    <w:rsid w:val="00EE56F0"/>
    <w:rsid w:val="00EE7814"/>
    <w:rsid w:val="00EF2109"/>
    <w:rsid w:val="00EF269A"/>
    <w:rsid w:val="00EF2BC3"/>
    <w:rsid w:val="00EF4AF6"/>
    <w:rsid w:val="00EF5554"/>
    <w:rsid w:val="00EF588F"/>
    <w:rsid w:val="00EF5CB6"/>
    <w:rsid w:val="00EF6FB8"/>
    <w:rsid w:val="00F0041A"/>
    <w:rsid w:val="00F006C0"/>
    <w:rsid w:val="00F00923"/>
    <w:rsid w:val="00F02686"/>
    <w:rsid w:val="00F02EC0"/>
    <w:rsid w:val="00F04E15"/>
    <w:rsid w:val="00F069EA"/>
    <w:rsid w:val="00F11DDC"/>
    <w:rsid w:val="00F11EAA"/>
    <w:rsid w:val="00F11F4A"/>
    <w:rsid w:val="00F11FB1"/>
    <w:rsid w:val="00F127D4"/>
    <w:rsid w:val="00F12B24"/>
    <w:rsid w:val="00F14747"/>
    <w:rsid w:val="00F1487F"/>
    <w:rsid w:val="00F14A63"/>
    <w:rsid w:val="00F16055"/>
    <w:rsid w:val="00F164B2"/>
    <w:rsid w:val="00F210EE"/>
    <w:rsid w:val="00F2184F"/>
    <w:rsid w:val="00F22756"/>
    <w:rsid w:val="00F22C25"/>
    <w:rsid w:val="00F236ED"/>
    <w:rsid w:val="00F24F54"/>
    <w:rsid w:val="00F259C2"/>
    <w:rsid w:val="00F2637F"/>
    <w:rsid w:val="00F26B5D"/>
    <w:rsid w:val="00F27282"/>
    <w:rsid w:val="00F30CF8"/>
    <w:rsid w:val="00F310EA"/>
    <w:rsid w:val="00F3129A"/>
    <w:rsid w:val="00F32D4C"/>
    <w:rsid w:val="00F34B14"/>
    <w:rsid w:val="00F34E3F"/>
    <w:rsid w:val="00F360A0"/>
    <w:rsid w:val="00F37616"/>
    <w:rsid w:val="00F4008D"/>
    <w:rsid w:val="00F40101"/>
    <w:rsid w:val="00F4020E"/>
    <w:rsid w:val="00F4146A"/>
    <w:rsid w:val="00F41F21"/>
    <w:rsid w:val="00F43017"/>
    <w:rsid w:val="00F44C3B"/>
    <w:rsid w:val="00F46723"/>
    <w:rsid w:val="00F469B3"/>
    <w:rsid w:val="00F46B91"/>
    <w:rsid w:val="00F4743E"/>
    <w:rsid w:val="00F50016"/>
    <w:rsid w:val="00F50D15"/>
    <w:rsid w:val="00F50D96"/>
    <w:rsid w:val="00F5175C"/>
    <w:rsid w:val="00F52963"/>
    <w:rsid w:val="00F53BC8"/>
    <w:rsid w:val="00F53E28"/>
    <w:rsid w:val="00F53E66"/>
    <w:rsid w:val="00F543D4"/>
    <w:rsid w:val="00F546DD"/>
    <w:rsid w:val="00F55732"/>
    <w:rsid w:val="00F60265"/>
    <w:rsid w:val="00F60D2F"/>
    <w:rsid w:val="00F6232F"/>
    <w:rsid w:val="00F64FA2"/>
    <w:rsid w:val="00F6520F"/>
    <w:rsid w:val="00F66309"/>
    <w:rsid w:val="00F70571"/>
    <w:rsid w:val="00F70799"/>
    <w:rsid w:val="00F71AF3"/>
    <w:rsid w:val="00F724FB"/>
    <w:rsid w:val="00F725D1"/>
    <w:rsid w:val="00F742BF"/>
    <w:rsid w:val="00F756DD"/>
    <w:rsid w:val="00F76063"/>
    <w:rsid w:val="00F82178"/>
    <w:rsid w:val="00F862F7"/>
    <w:rsid w:val="00F868E9"/>
    <w:rsid w:val="00F90DFE"/>
    <w:rsid w:val="00F91906"/>
    <w:rsid w:val="00F94AF5"/>
    <w:rsid w:val="00F961D9"/>
    <w:rsid w:val="00F972DA"/>
    <w:rsid w:val="00FA0043"/>
    <w:rsid w:val="00FA2924"/>
    <w:rsid w:val="00FA2D48"/>
    <w:rsid w:val="00FA472D"/>
    <w:rsid w:val="00FA4C72"/>
    <w:rsid w:val="00FA4F3D"/>
    <w:rsid w:val="00FA5E5E"/>
    <w:rsid w:val="00FA6462"/>
    <w:rsid w:val="00FA68F4"/>
    <w:rsid w:val="00FB00FF"/>
    <w:rsid w:val="00FB035E"/>
    <w:rsid w:val="00FB0602"/>
    <w:rsid w:val="00FB1717"/>
    <w:rsid w:val="00FB46B3"/>
    <w:rsid w:val="00FB58B9"/>
    <w:rsid w:val="00FC06E2"/>
    <w:rsid w:val="00FC1953"/>
    <w:rsid w:val="00FC205A"/>
    <w:rsid w:val="00FC2708"/>
    <w:rsid w:val="00FC3291"/>
    <w:rsid w:val="00FC485A"/>
    <w:rsid w:val="00FC4979"/>
    <w:rsid w:val="00FC5EA6"/>
    <w:rsid w:val="00FC720E"/>
    <w:rsid w:val="00FC79BC"/>
    <w:rsid w:val="00FC7AE7"/>
    <w:rsid w:val="00FD01BF"/>
    <w:rsid w:val="00FD39C6"/>
    <w:rsid w:val="00FD764D"/>
    <w:rsid w:val="00FD7681"/>
    <w:rsid w:val="00FE3301"/>
    <w:rsid w:val="00FE741D"/>
    <w:rsid w:val="00FF124E"/>
    <w:rsid w:val="00FF1C9B"/>
    <w:rsid w:val="00FF21C9"/>
    <w:rsid w:val="00FF23F1"/>
    <w:rsid w:val="00FF36AE"/>
    <w:rsid w:val="00FF4767"/>
    <w:rsid w:val="00FF48D1"/>
    <w:rsid w:val="00FF57E4"/>
    <w:rsid w:val="02E24720"/>
    <w:rsid w:val="035F5DAC"/>
    <w:rsid w:val="07EE4BEE"/>
    <w:rsid w:val="095721E9"/>
    <w:rsid w:val="098C6194"/>
    <w:rsid w:val="09C24F5B"/>
    <w:rsid w:val="0ACA1FA1"/>
    <w:rsid w:val="0CF25A42"/>
    <w:rsid w:val="0F4D436E"/>
    <w:rsid w:val="11FB773A"/>
    <w:rsid w:val="12C71253"/>
    <w:rsid w:val="12F03042"/>
    <w:rsid w:val="159F6E1C"/>
    <w:rsid w:val="160F724A"/>
    <w:rsid w:val="17013A85"/>
    <w:rsid w:val="17D95190"/>
    <w:rsid w:val="18702B36"/>
    <w:rsid w:val="1A6A2680"/>
    <w:rsid w:val="1D8E0188"/>
    <w:rsid w:val="1F1C3591"/>
    <w:rsid w:val="20233244"/>
    <w:rsid w:val="20A65B72"/>
    <w:rsid w:val="21490157"/>
    <w:rsid w:val="218A0E86"/>
    <w:rsid w:val="2337521E"/>
    <w:rsid w:val="26BB17DD"/>
    <w:rsid w:val="271620AA"/>
    <w:rsid w:val="28E47DC5"/>
    <w:rsid w:val="2DD847FC"/>
    <w:rsid w:val="2EDF19C4"/>
    <w:rsid w:val="2F390A9C"/>
    <w:rsid w:val="2F95143C"/>
    <w:rsid w:val="319C19E8"/>
    <w:rsid w:val="31CF2F6A"/>
    <w:rsid w:val="31E511A8"/>
    <w:rsid w:val="336E6D90"/>
    <w:rsid w:val="35A01C74"/>
    <w:rsid w:val="35A457FF"/>
    <w:rsid w:val="36DF3689"/>
    <w:rsid w:val="379F30FB"/>
    <w:rsid w:val="38E23927"/>
    <w:rsid w:val="3B6A7D18"/>
    <w:rsid w:val="3D2948EA"/>
    <w:rsid w:val="3DC425A5"/>
    <w:rsid w:val="3DD45E3A"/>
    <w:rsid w:val="3E2935EA"/>
    <w:rsid w:val="3FAD3732"/>
    <w:rsid w:val="42903D86"/>
    <w:rsid w:val="443F467F"/>
    <w:rsid w:val="45881757"/>
    <w:rsid w:val="47DD5470"/>
    <w:rsid w:val="48C51D9F"/>
    <w:rsid w:val="490F53CE"/>
    <w:rsid w:val="49907AB4"/>
    <w:rsid w:val="4C656AC2"/>
    <w:rsid w:val="4DBE61B5"/>
    <w:rsid w:val="4E0E773D"/>
    <w:rsid w:val="4E3368FE"/>
    <w:rsid w:val="503F00BA"/>
    <w:rsid w:val="535652E8"/>
    <w:rsid w:val="53762E4F"/>
    <w:rsid w:val="56B01E4C"/>
    <w:rsid w:val="576773B2"/>
    <w:rsid w:val="587744F8"/>
    <w:rsid w:val="5A4844E8"/>
    <w:rsid w:val="5A6D0C80"/>
    <w:rsid w:val="5D1D1F95"/>
    <w:rsid w:val="5EA5229A"/>
    <w:rsid w:val="5ED67919"/>
    <w:rsid w:val="63A36B89"/>
    <w:rsid w:val="643710D2"/>
    <w:rsid w:val="644F2539"/>
    <w:rsid w:val="666C2860"/>
    <w:rsid w:val="678C7E88"/>
    <w:rsid w:val="695360A7"/>
    <w:rsid w:val="6A267E1A"/>
    <w:rsid w:val="6A5B0F7D"/>
    <w:rsid w:val="6ABE049C"/>
    <w:rsid w:val="6DBC1FA4"/>
    <w:rsid w:val="6F3038C2"/>
    <w:rsid w:val="6FA6544E"/>
    <w:rsid w:val="703E15B9"/>
    <w:rsid w:val="71297F0A"/>
    <w:rsid w:val="7430673E"/>
    <w:rsid w:val="760D10D4"/>
    <w:rsid w:val="76933108"/>
    <w:rsid w:val="76EC7AC1"/>
    <w:rsid w:val="781F477B"/>
    <w:rsid w:val="78AB168F"/>
    <w:rsid w:val="794A5521"/>
    <w:rsid w:val="7BA30E0C"/>
    <w:rsid w:val="7C191152"/>
    <w:rsid w:val="7D601F92"/>
    <w:rsid w:val="7D6268AA"/>
    <w:rsid w:val="7ECF26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0"/>
    <w:qFormat/>
    <w:uiPriority w:val="0"/>
    <w:pPr>
      <w:ind w:firstLine="420"/>
    </w:pPr>
    <w:rPr>
      <w:rFonts w:ascii="Calibri" w:hAnsi="Calibri"/>
      <w:szCs w:val="20"/>
    </w:rPr>
  </w:style>
  <w:style w:type="paragraph" w:styleId="12">
    <w:name w:val="List 3"/>
    <w:basedOn w:val="1"/>
    <w:qFormat/>
    <w:uiPriority w:val="0"/>
    <w:pPr>
      <w:ind w:left="100" w:leftChars="400" w:hanging="200" w:hangingChars="200"/>
    </w:pPr>
  </w:style>
  <w:style w:type="paragraph" w:styleId="13">
    <w:name w:val="toc 7"/>
    <w:basedOn w:val="1"/>
    <w:next w:val="1"/>
    <w:unhideWhenUsed/>
    <w:qFormat/>
    <w:uiPriority w:val="0"/>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70"/>
    <w:qFormat/>
    <w:uiPriority w:val="0"/>
    <w:pPr>
      <w:jc w:val="left"/>
    </w:pPr>
  </w:style>
  <w:style w:type="paragraph" w:styleId="18">
    <w:name w:val="Body Text 3"/>
    <w:basedOn w:val="1"/>
    <w:link w:val="77"/>
    <w:qFormat/>
    <w:uiPriority w:val="0"/>
    <w:pPr>
      <w:spacing w:line="500" w:lineRule="exact"/>
    </w:pPr>
    <w:rPr>
      <w:b/>
      <w:bCs/>
      <w:sz w:val="24"/>
    </w:rPr>
  </w:style>
  <w:style w:type="paragraph" w:styleId="19">
    <w:name w:val="Body Text"/>
    <w:basedOn w:val="1"/>
    <w:link w:val="71"/>
    <w:unhideWhenUsed/>
    <w:qFormat/>
    <w:uiPriority w:val="99"/>
    <w:pPr>
      <w:spacing w:after="120"/>
    </w:pPr>
  </w:style>
  <w:style w:type="paragraph" w:styleId="20">
    <w:name w:val="Body Text Indent"/>
    <w:basedOn w:val="1"/>
    <w:link w:val="69"/>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0"/>
    <w:pPr>
      <w:ind w:left="1680" w:leftChars="800"/>
    </w:pPr>
    <w:rPr>
      <w:rFonts w:ascii="Calibri" w:hAnsi="Calibri"/>
      <w:szCs w:val="22"/>
    </w:rPr>
  </w:style>
  <w:style w:type="paragraph" w:styleId="24">
    <w:name w:val="toc 3"/>
    <w:basedOn w:val="1"/>
    <w:next w:val="1"/>
    <w:unhideWhenUsed/>
    <w:qFormat/>
    <w:uiPriority w:val="0"/>
    <w:pPr>
      <w:ind w:left="840" w:leftChars="400"/>
    </w:pPr>
    <w:rPr>
      <w:rFonts w:ascii="Calibri" w:hAnsi="Calibri"/>
      <w:szCs w:val="22"/>
    </w:rPr>
  </w:style>
  <w:style w:type="paragraph" w:styleId="25">
    <w:name w:val="Plain Text"/>
    <w:basedOn w:val="1"/>
    <w:link w:val="68"/>
    <w:qFormat/>
    <w:uiPriority w:val="0"/>
    <w:rPr>
      <w:rFonts w:ascii="宋体" w:hAnsi="Courier New" w:cs="Courier New"/>
      <w:szCs w:val="21"/>
    </w:rPr>
  </w:style>
  <w:style w:type="paragraph" w:styleId="26">
    <w:name w:val="toc 8"/>
    <w:basedOn w:val="1"/>
    <w:next w:val="1"/>
    <w:unhideWhenUsed/>
    <w:qFormat/>
    <w:uiPriority w:val="0"/>
    <w:pPr>
      <w:ind w:left="2940" w:leftChars="1400"/>
    </w:pPr>
    <w:rPr>
      <w:rFonts w:ascii="Calibri" w:hAnsi="Calibri"/>
      <w:szCs w:val="22"/>
    </w:rPr>
  </w:style>
  <w:style w:type="paragraph" w:styleId="27">
    <w:name w:val="Date"/>
    <w:basedOn w:val="1"/>
    <w:next w:val="1"/>
    <w:link w:val="72"/>
    <w:semiHidden/>
    <w:unhideWhenUsed/>
    <w:qFormat/>
    <w:uiPriority w:val="99"/>
    <w:pPr>
      <w:ind w:left="100" w:leftChars="2500"/>
    </w:pPr>
  </w:style>
  <w:style w:type="paragraph" w:styleId="28">
    <w:name w:val="Body Text Indent 2"/>
    <w:basedOn w:val="1"/>
    <w:link w:val="75"/>
    <w:qFormat/>
    <w:uiPriority w:val="0"/>
    <w:pPr>
      <w:ind w:firstLine="630"/>
    </w:pPr>
    <w:rPr>
      <w:sz w:val="32"/>
      <w:szCs w:val="20"/>
    </w:rPr>
  </w:style>
  <w:style w:type="paragraph" w:styleId="29">
    <w:name w:val="endnote text"/>
    <w:basedOn w:val="1"/>
    <w:semiHidden/>
    <w:unhideWhenUsed/>
    <w:qFormat/>
    <w:uiPriority w:val="0"/>
    <w:pPr>
      <w:snapToGrid w:val="0"/>
      <w:jc w:val="left"/>
    </w:pPr>
  </w:style>
  <w:style w:type="paragraph" w:styleId="30">
    <w:name w:val="Balloon Text"/>
    <w:basedOn w:val="1"/>
    <w:semiHidden/>
    <w:qFormat/>
    <w:uiPriority w:val="0"/>
    <w:rPr>
      <w:sz w:val="18"/>
      <w:szCs w:val="18"/>
    </w:rPr>
  </w:style>
  <w:style w:type="paragraph" w:styleId="31">
    <w:name w:val="footer"/>
    <w:basedOn w:val="1"/>
    <w:link w:val="67"/>
    <w:unhideWhenUsed/>
    <w:qFormat/>
    <w:uiPriority w:val="99"/>
    <w:pPr>
      <w:tabs>
        <w:tab w:val="center" w:pos="4153"/>
        <w:tab w:val="right" w:pos="8306"/>
      </w:tabs>
      <w:snapToGrid w:val="0"/>
      <w:jc w:val="left"/>
    </w:pPr>
    <w:rPr>
      <w:sz w:val="18"/>
      <w:szCs w:val="18"/>
    </w:rPr>
  </w:style>
  <w:style w:type="paragraph" w:styleId="32">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style>
  <w:style w:type="paragraph" w:styleId="34">
    <w:name w:val="toc 4"/>
    <w:basedOn w:val="1"/>
    <w:next w:val="1"/>
    <w:unhideWhenUsed/>
    <w:qFormat/>
    <w:uiPriority w:val="0"/>
    <w:pPr>
      <w:ind w:left="1260" w:leftChars="600"/>
    </w:pPr>
    <w:rPr>
      <w:rFonts w:ascii="Calibri" w:hAnsi="Calibri"/>
      <w:szCs w:val="22"/>
    </w:rPr>
  </w:style>
  <w:style w:type="paragraph" w:styleId="35">
    <w:name w:val="index heading"/>
    <w:basedOn w:val="1"/>
    <w:next w:val="36"/>
    <w:semiHidden/>
    <w:qFormat/>
    <w:uiPriority w:val="0"/>
    <w:rPr>
      <w:szCs w:val="20"/>
    </w:rPr>
  </w:style>
  <w:style w:type="paragraph" w:styleId="36">
    <w:name w:val="index 1"/>
    <w:basedOn w:val="1"/>
    <w:next w:val="1"/>
    <w:semiHidden/>
    <w:qFormat/>
    <w:uiPriority w:val="0"/>
    <w:pPr>
      <w:spacing w:line="400" w:lineRule="exact"/>
      <w:ind w:firstLine="420" w:firstLineChars="200"/>
    </w:pPr>
    <w:rPr>
      <w:rFonts w:ascii="宋体" w:hAnsi="Courier New"/>
      <w:b/>
      <w:szCs w:val="20"/>
    </w:rPr>
  </w:style>
  <w:style w:type="paragraph" w:styleId="37">
    <w:name w:val="List"/>
    <w:basedOn w:val="1"/>
    <w:qFormat/>
    <w:uiPriority w:val="0"/>
    <w:pPr>
      <w:ind w:left="200" w:hanging="200" w:hangingChars="200"/>
    </w:pPr>
    <w:rPr>
      <w:sz w:val="28"/>
    </w:rPr>
  </w:style>
  <w:style w:type="paragraph" w:styleId="38">
    <w:name w:val="footnote text"/>
    <w:basedOn w:val="1"/>
    <w:semiHidden/>
    <w:unhideWhenUsed/>
    <w:qFormat/>
    <w:uiPriority w:val="0"/>
    <w:pPr>
      <w:snapToGrid w:val="0"/>
      <w:jc w:val="left"/>
    </w:pPr>
    <w:rPr>
      <w:sz w:val="18"/>
      <w:szCs w:val="18"/>
    </w:rPr>
  </w:style>
  <w:style w:type="paragraph" w:styleId="39">
    <w:name w:val="toc 6"/>
    <w:basedOn w:val="1"/>
    <w:next w:val="1"/>
    <w:unhideWhenUsed/>
    <w:qFormat/>
    <w:uiPriority w:val="0"/>
    <w:pPr>
      <w:ind w:left="2100" w:leftChars="1000"/>
    </w:pPr>
    <w:rPr>
      <w:rFonts w:ascii="Calibri" w:hAnsi="Calibri"/>
      <w:szCs w:val="22"/>
    </w:rPr>
  </w:style>
  <w:style w:type="paragraph" w:styleId="40">
    <w:name w:val="Body Text Indent 3"/>
    <w:basedOn w:val="1"/>
    <w:link w:val="74"/>
    <w:qFormat/>
    <w:uiPriority w:val="0"/>
    <w:pPr>
      <w:spacing w:after="120"/>
      <w:ind w:left="420" w:leftChars="200"/>
    </w:pPr>
    <w:rPr>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0"/>
    <w:pPr>
      <w:ind w:left="3360" w:leftChars="1600"/>
    </w:pPr>
    <w:rPr>
      <w:rFonts w:ascii="Calibri" w:hAnsi="Calibri"/>
      <w:szCs w:val="22"/>
    </w:rPr>
  </w:style>
  <w:style w:type="paragraph" w:styleId="43">
    <w:name w:val="Body Text 2"/>
    <w:basedOn w:val="1"/>
    <w:link w:val="76"/>
    <w:qFormat/>
    <w:uiPriority w:val="0"/>
    <w:pPr>
      <w:spacing w:after="120" w:line="480" w:lineRule="auto"/>
    </w:pPr>
  </w:style>
  <w:style w:type="paragraph" w:styleId="4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Title"/>
    <w:basedOn w:val="1"/>
    <w:next w:val="1"/>
    <w:qFormat/>
    <w:uiPriority w:val="0"/>
    <w:pPr>
      <w:spacing w:before="240" w:after="60"/>
      <w:jc w:val="center"/>
      <w:outlineLvl w:val="0"/>
    </w:pPr>
    <w:rPr>
      <w:rFonts w:ascii="Cambria" w:hAnsi="Cambria"/>
      <w:b/>
      <w:bCs/>
      <w:sz w:val="32"/>
      <w:szCs w:val="32"/>
    </w:rPr>
  </w:style>
  <w:style w:type="paragraph" w:styleId="47">
    <w:name w:val="annotation subject"/>
    <w:basedOn w:val="17"/>
    <w:next w:val="17"/>
    <w:semiHidden/>
    <w:qFormat/>
    <w:uiPriority w:val="0"/>
    <w:rPr>
      <w:b/>
      <w:bCs/>
    </w:rPr>
  </w:style>
  <w:style w:type="paragraph" w:styleId="48">
    <w:name w:val="Body Text First Indent"/>
    <w:basedOn w:val="19"/>
    <w:link w:val="94"/>
    <w:qFormat/>
    <w:uiPriority w:val="0"/>
    <w:pPr>
      <w:ind w:firstLine="420" w:firstLineChars="100"/>
    </w:pPr>
    <w:rPr>
      <w:rFonts w:ascii="宋体" w:hAnsi="Courier New"/>
      <w:kern w:val="0"/>
      <w:sz w:val="20"/>
      <w:szCs w:val="21"/>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0"/>
    <w:rPr>
      <w:rFonts w:ascii="Tahoma" w:hAnsi="Tahoma" w:eastAsia="宋体"/>
      <w:b/>
      <w:bCs/>
      <w:spacing w:val="10"/>
      <w:kern w:val="2"/>
      <w:sz w:val="24"/>
      <w:szCs w:val="24"/>
      <w:lang w:val="en-US" w:eastAsia="zh-CN" w:bidi="ar-SA"/>
    </w:rPr>
  </w:style>
  <w:style w:type="character" w:styleId="53">
    <w:name w:val="page number"/>
    <w:basedOn w:val="51"/>
    <w:qFormat/>
    <w:uiPriority w:val="0"/>
  </w:style>
  <w:style w:type="character" w:styleId="54">
    <w:name w:val="Hyperlink"/>
    <w:unhideWhenUsed/>
    <w:qFormat/>
    <w:uiPriority w:val="99"/>
    <w:rPr>
      <w:color w:val="0000FF"/>
      <w:u w:val="single"/>
    </w:rPr>
  </w:style>
  <w:style w:type="character" w:styleId="55">
    <w:name w:val="annotation reference"/>
    <w:qFormat/>
    <w:uiPriority w:val="0"/>
    <w:rPr>
      <w:sz w:val="21"/>
      <w:szCs w:val="21"/>
    </w:rPr>
  </w:style>
  <w:style w:type="character" w:customStyle="1" w:styleId="56">
    <w:name w:val="标题 1 Char"/>
    <w:link w:val="2"/>
    <w:qFormat/>
    <w:uiPriority w:val="0"/>
    <w:rPr>
      <w:rFonts w:eastAsia="宋体"/>
      <w:b/>
      <w:bCs/>
      <w:kern w:val="44"/>
      <w:sz w:val="44"/>
      <w:szCs w:val="44"/>
      <w:lang w:val="en-US" w:eastAsia="zh-CN" w:bidi="ar-SA"/>
    </w:rPr>
  </w:style>
  <w:style w:type="character" w:customStyle="1" w:styleId="57">
    <w:name w:val="标题 2 Char1"/>
    <w:link w:val="3"/>
    <w:qFormat/>
    <w:uiPriority w:val="9"/>
    <w:rPr>
      <w:rFonts w:ascii="Cambria" w:hAnsi="Cambria" w:eastAsia="宋体" w:cs="Times New Roman"/>
      <w:b/>
      <w:bCs/>
      <w:kern w:val="2"/>
      <w:sz w:val="32"/>
      <w:szCs w:val="32"/>
    </w:rPr>
  </w:style>
  <w:style w:type="character" w:customStyle="1" w:styleId="58">
    <w:name w:val="标题 3 Char"/>
    <w:link w:val="4"/>
    <w:qFormat/>
    <w:uiPriority w:val="0"/>
    <w:rPr>
      <w:rFonts w:eastAsia="宋体"/>
      <w:b/>
      <w:bCs/>
      <w:kern w:val="2"/>
      <w:sz w:val="32"/>
      <w:szCs w:val="32"/>
      <w:lang w:val="en-US" w:eastAsia="zh-CN" w:bidi="ar-SA"/>
    </w:rPr>
  </w:style>
  <w:style w:type="character" w:customStyle="1" w:styleId="59">
    <w:name w:val="标题 4 Char"/>
    <w:link w:val="5"/>
    <w:qFormat/>
    <w:uiPriority w:val="0"/>
    <w:rPr>
      <w:rFonts w:ascii="Arial" w:hAnsi="Arial" w:eastAsia="黑体"/>
      <w:b/>
      <w:bCs/>
      <w:kern w:val="2"/>
      <w:sz w:val="28"/>
      <w:szCs w:val="28"/>
      <w:lang w:val="en-US" w:eastAsia="zh-CN" w:bidi="ar-SA"/>
    </w:rPr>
  </w:style>
  <w:style w:type="character" w:customStyle="1" w:styleId="60">
    <w:name w:val="正文缩进 Char"/>
    <w:link w:val="7"/>
    <w:qFormat/>
    <w:uiPriority w:val="0"/>
    <w:rPr>
      <w:rFonts w:eastAsia="宋体"/>
      <w:kern w:val="2"/>
      <w:sz w:val="21"/>
      <w:lang w:val="en-US" w:eastAsia="zh-CN" w:bidi="ar-SA"/>
    </w:rPr>
  </w:style>
  <w:style w:type="character" w:customStyle="1" w:styleId="61">
    <w:name w:val="标题 5 Char"/>
    <w:link w:val="6"/>
    <w:qFormat/>
    <w:uiPriority w:val="0"/>
    <w:rPr>
      <w:rFonts w:eastAsia="宋体"/>
      <w:b/>
      <w:kern w:val="2"/>
      <w:sz w:val="28"/>
      <w:szCs w:val="24"/>
      <w:lang w:val="en-US" w:eastAsia="zh-CN" w:bidi="ar-SA"/>
    </w:rPr>
  </w:style>
  <w:style w:type="character" w:customStyle="1" w:styleId="62">
    <w:name w:val="标题 6 Char"/>
    <w:link w:val="8"/>
    <w:qFormat/>
    <w:uiPriority w:val="0"/>
    <w:rPr>
      <w:rFonts w:ascii="Arial" w:hAnsi="Arial" w:eastAsia="黑体"/>
      <w:b/>
      <w:kern w:val="2"/>
      <w:sz w:val="24"/>
      <w:szCs w:val="24"/>
      <w:lang w:val="en-US" w:eastAsia="zh-CN" w:bidi="ar-SA"/>
    </w:rPr>
  </w:style>
  <w:style w:type="character" w:customStyle="1" w:styleId="63">
    <w:name w:val="标题 7 Char"/>
    <w:link w:val="9"/>
    <w:qFormat/>
    <w:uiPriority w:val="0"/>
    <w:rPr>
      <w:rFonts w:eastAsia="宋体"/>
      <w:b/>
      <w:kern w:val="2"/>
      <w:sz w:val="24"/>
      <w:szCs w:val="24"/>
      <w:lang w:val="en-US" w:eastAsia="zh-CN" w:bidi="ar-SA"/>
    </w:rPr>
  </w:style>
  <w:style w:type="character" w:customStyle="1" w:styleId="64">
    <w:name w:val="标题 8 Char"/>
    <w:link w:val="10"/>
    <w:qFormat/>
    <w:uiPriority w:val="0"/>
    <w:rPr>
      <w:rFonts w:ascii="Arial" w:hAnsi="Arial" w:eastAsia="黑体"/>
      <w:kern w:val="2"/>
      <w:sz w:val="24"/>
      <w:szCs w:val="24"/>
      <w:lang w:val="en-US" w:eastAsia="zh-CN" w:bidi="ar-SA"/>
    </w:rPr>
  </w:style>
  <w:style w:type="character" w:customStyle="1" w:styleId="65">
    <w:name w:val="标题 9 Char"/>
    <w:link w:val="11"/>
    <w:qFormat/>
    <w:uiPriority w:val="0"/>
    <w:rPr>
      <w:rFonts w:ascii="Arial" w:hAnsi="Arial" w:eastAsia="黑体"/>
      <w:kern w:val="2"/>
      <w:sz w:val="21"/>
      <w:szCs w:val="24"/>
      <w:lang w:val="en-US" w:eastAsia="zh-CN" w:bidi="ar-SA"/>
    </w:rPr>
  </w:style>
  <w:style w:type="character" w:customStyle="1" w:styleId="66">
    <w:name w:val="页眉 Char"/>
    <w:link w:val="32"/>
    <w:qFormat/>
    <w:uiPriority w:val="99"/>
    <w:rPr>
      <w:sz w:val="18"/>
      <w:szCs w:val="18"/>
    </w:rPr>
  </w:style>
  <w:style w:type="character" w:customStyle="1" w:styleId="67">
    <w:name w:val="页脚 Char"/>
    <w:link w:val="31"/>
    <w:qFormat/>
    <w:uiPriority w:val="99"/>
    <w:rPr>
      <w:sz w:val="18"/>
      <w:szCs w:val="18"/>
    </w:rPr>
  </w:style>
  <w:style w:type="character" w:customStyle="1" w:styleId="68">
    <w:name w:val="纯文本 Char"/>
    <w:link w:val="25"/>
    <w:qFormat/>
    <w:uiPriority w:val="0"/>
    <w:rPr>
      <w:rFonts w:ascii="宋体" w:hAnsi="Courier New" w:eastAsia="宋体" w:cs="Courier New"/>
      <w:szCs w:val="21"/>
    </w:rPr>
  </w:style>
  <w:style w:type="character" w:customStyle="1" w:styleId="69">
    <w:name w:val="正文文本缩进 Char"/>
    <w:link w:val="20"/>
    <w:qFormat/>
    <w:uiPriority w:val="0"/>
    <w:rPr>
      <w:rFonts w:ascii="仿宋_GB2312" w:hAnsi="Times New Roman" w:eastAsia="仿宋_GB2312" w:cs="Times New Roman"/>
      <w:sz w:val="32"/>
      <w:szCs w:val="20"/>
    </w:rPr>
  </w:style>
  <w:style w:type="character" w:customStyle="1" w:styleId="70">
    <w:name w:val="批注文字 Char"/>
    <w:link w:val="17"/>
    <w:qFormat/>
    <w:uiPriority w:val="0"/>
    <w:rPr>
      <w:rFonts w:ascii="Times New Roman" w:hAnsi="Times New Roman"/>
      <w:kern w:val="2"/>
      <w:sz w:val="21"/>
      <w:szCs w:val="24"/>
    </w:rPr>
  </w:style>
  <w:style w:type="character" w:customStyle="1" w:styleId="71">
    <w:name w:val="正文文本 Char"/>
    <w:link w:val="19"/>
    <w:qFormat/>
    <w:uiPriority w:val="99"/>
    <w:rPr>
      <w:rFonts w:ascii="Times New Roman" w:hAnsi="Times New Roman"/>
      <w:kern w:val="2"/>
      <w:sz w:val="21"/>
      <w:szCs w:val="24"/>
    </w:rPr>
  </w:style>
  <w:style w:type="character" w:customStyle="1" w:styleId="72">
    <w:name w:val="日期 Char"/>
    <w:link w:val="27"/>
    <w:semiHidden/>
    <w:qFormat/>
    <w:uiPriority w:val="99"/>
    <w:rPr>
      <w:rFonts w:ascii="Times New Roman" w:hAnsi="Times New Roman"/>
      <w:kern w:val="2"/>
      <w:sz w:val="21"/>
      <w:szCs w:val="24"/>
    </w:rPr>
  </w:style>
  <w:style w:type="character" w:customStyle="1" w:styleId="73">
    <w:name w:val="apple-style-span"/>
    <w:basedOn w:val="51"/>
    <w:qFormat/>
    <w:uiPriority w:val="0"/>
  </w:style>
  <w:style w:type="character" w:customStyle="1" w:styleId="74">
    <w:name w:val="正文文本缩进 3 Char"/>
    <w:link w:val="40"/>
    <w:qFormat/>
    <w:uiPriority w:val="0"/>
    <w:rPr>
      <w:rFonts w:eastAsia="宋体"/>
      <w:kern w:val="2"/>
      <w:sz w:val="16"/>
      <w:szCs w:val="16"/>
      <w:lang w:val="en-US" w:eastAsia="zh-CN" w:bidi="ar-SA"/>
    </w:rPr>
  </w:style>
  <w:style w:type="character" w:customStyle="1" w:styleId="75">
    <w:name w:val="正文文本缩进 2 Char"/>
    <w:link w:val="28"/>
    <w:qFormat/>
    <w:uiPriority w:val="0"/>
    <w:rPr>
      <w:rFonts w:eastAsia="宋体"/>
      <w:kern w:val="2"/>
      <w:sz w:val="32"/>
      <w:lang w:val="en-US" w:eastAsia="zh-CN" w:bidi="ar-SA"/>
    </w:rPr>
  </w:style>
  <w:style w:type="character" w:customStyle="1" w:styleId="76">
    <w:name w:val="正文文本 2 Char"/>
    <w:link w:val="43"/>
    <w:qFormat/>
    <w:uiPriority w:val="0"/>
    <w:rPr>
      <w:rFonts w:eastAsia="宋体"/>
      <w:kern w:val="2"/>
      <w:sz w:val="21"/>
      <w:szCs w:val="24"/>
      <w:lang w:val="en-US" w:eastAsia="zh-CN" w:bidi="ar-SA"/>
    </w:rPr>
  </w:style>
  <w:style w:type="character" w:customStyle="1" w:styleId="77">
    <w:name w:val="正文文本 3 Char"/>
    <w:link w:val="18"/>
    <w:qFormat/>
    <w:uiPriority w:val="0"/>
    <w:rPr>
      <w:rFonts w:eastAsia="宋体"/>
      <w:b/>
      <w:bCs/>
      <w:kern w:val="2"/>
      <w:sz w:val="24"/>
      <w:szCs w:val="24"/>
      <w:lang w:val="en-US" w:eastAsia="zh-CN" w:bidi="ar-SA"/>
    </w:rPr>
  </w:style>
  <w:style w:type="paragraph" w:customStyle="1" w:styleId="78">
    <w:name w:val="样式 首行缩进:  2 字符"/>
    <w:basedOn w:val="1"/>
    <w:qFormat/>
    <w:uiPriority w:val="0"/>
    <w:pPr>
      <w:spacing w:line="400" w:lineRule="exact"/>
      <w:ind w:firstLine="200" w:firstLineChars="200"/>
    </w:pPr>
    <w:rPr>
      <w:rFonts w:cs="宋体"/>
      <w:sz w:val="24"/>
    </w:rPr>
  </w:style>
  <w:style w:type="paragraph" w:styleId="79">
    <w:name w:val="List Paragraph"/>
    <w:basedOn w:val="1"/>
    <w:qFormat/>
    <w:uiPriority w:val="0"/>
    <w:pPr>
      <w:ind w:firstLine="420" w:firstLineChars="200"/>
    </w:pPr>
  </w:style>
  <w:style w:type="paragraph" w:customStyle="1" w:styleId="8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1">
    <w:name w:val="apple-converted-space"/>
    <w:basedOn w:val="51"/>
    <w:qFormat/>
    <w:uiPriority w:val="0"/>
  </w:style>
  <w:style w:type="character" w:customStyle="1" w:styleId="82">
    <w:name w:val="普通文字 Char Char2"/>
    <w:qFormat/>
    <w:uiPriority w:val="0"/>
    <w:rPr>
      <w:rFonts w:ascii="宋体" w:hAnsi="Courier New" w:eastAsia="宋体"/>
      <w:kern w:val="2"/>
      <w:sz w:val="21"/>
      <w:lang w:val="en-US" w:eastAsia="zh-CN" w:bidi="ar-SA"/>
    </w:rPr>
  </w:style>
  <w:style w:type="paragraph" w:customStyle="1" w:styleId="83">
    <w:name w:val="正文首行缩进两字符"/>
    <w:basedOn w:val="1"/>
    <w:qFormat/>
    <w:uiPriority w:val="0"/>
    <w:pPr>
      <w:spacing w:line="360" w:lineRule="auto"/>
      <w:ind w:firstLine="200" w:firstLineChars="200"/>
    </w:pPr>
  </w:style>
  <w:style w:type="paragraph" w:customStyle="1" w:styleId="8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5">
    <w:name w:val="默认段落字体 Para Char Char Char Char Char Char Char Char Char1 Char Char Char Char"/>
    <w:basedOn w:val="1"/>
    <w:qFormat/>
    <w:uiPriority w:val="0"/>
    <w:rPr>
      <w:rFonts w:ascii="Tahoma" w:hAnsi="Tahoma"/>
      <w:sz w:val="24"/>
      <w:szCs w:val="20"/>
    </w:rPr>
  </w:style>
  <w:style w:type="paragraph" w:customStyle="1" w:styleId="86">
    <w:name w:val="Char1"/>
    <w:basedOn w:val="1"/>
    <w:qFormat/>
    <w:uiPriority w:val="0"/>
    <w:rPr>
      <w:szCs w:val="21"/>
    </w:rPr>
  </w:style>
  <w:style w:type="paragraph" w:customStyle="1" w:styleId="87">
    <w:name w:val="表格"/>
    <w:basedOn w:val="1"/>
    <w:qFormat/>
    <w:uiPriority w:val="0"/>
    <w:pPr>
      <w:spacing w:line="400" w:lineRule="exact"/>
    </w:pPr>
    <w:rPr>
      <w:sz w:val="24"/>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90">
    <w:name w:val="正文段"/>
    <w:basedOn w:val="1"/>
    <w:qFormat/>
    <w:uiPriority w:val="0"/>
    <w:pPr>
      <w:widowControl/>
      <w:snapToGrid w:val="0"/>
      <w:spacing w:afterLines="50"/>
      <w:ind w:firstLine="200" w:firstLineChars="200"/>
    </w:pPr>
    <w:rPr>
      <w:kern w:val="0"/>
      <w:sz w:val="24"/>
      <w:szCs w:val="20"/>
    </w:rPr>
  </w:style>
  <w:style w:type="paragraph" w:customStyle="1" w:styleId="9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93">
    <w:name w:val="Char"/>
    <w:basedOn w:val="16"/>
    <w:semiHidden/>
    <w:qFormat/>
    <w:uiPriority w:val="0"/>
    <w:rPr>
      <w:rFonts w:ascii="Tahoma" w:hAnsi="Tahoma" w:cs="Tahoma"/>
      <w:kern w:val="0"/>
      <w:sz w:val="18"/>
    </w:rPr>
  </w:style>
  <w:style w:type="character" w:customStyle="1" w:styleId="94">
    <w:name w:val="正文首行缩进 Char"/>
    <w:link w:val="48"/>
    <w:qFormat/>
    <w:uiPriority w:val="0"/>
    <w:rPr>
      <w:rFonts w:ascii="宋体" w:hAnsi="Courier New" w:eastAsia="宋体" w:cs="Courier New"/>
      <w:szCs w:val="21"/>
    </w:rPr>
  </w:style>
  <w:style w:type="character" w:customStyle="1" w:styleId="95">
    <w:name w:val="标题 2 Char"/>
    <w:qFormat/>
    <w:uiPriority w:val="0"/>
    <w:rPr>
      <w:rFonts w:ascii="Cambria" w:hAnsi="Cambria" w:eastAsia="宋体" w:cs="Times New Roman"/>
      <w:b/>
      <w:bCs/>
      <w:color w:val="4F81BD"/>
      <w:kern w:val="2"/>
      <w:sz w:val="26"/>
      <w:szCs w:val="26"/>
    </w:rPr>
  </w:style>
  <w:style w:type="character" w:customStyle="1" w:styleId="96">
    <w:name w:val="Char Char18"/>
    <w:qFormat/>
    <w:uiPriority w:val="0"/>
    <w:rPr>
      <w:rFonts w:ascii="Calibri" w:hAnsi="Calibri" w:eastAsia="宋体" w:cs="Times New Roman"/>
      <w:b/>
      <w:bCs/>
      <w:sz w:val="28"/>
      <w:szCs w:val="28"/>
    </w:rPr>
  </w:style>
  <w:style w:type="character" w:customStyle="1" w:styleId="97">
    <w:name w:val="Char Char17"/>
    <w:qFormat/>
    <w:uiPriority w:val="0"/>
    <w:rPr>
      <w:rFonts w:ascii="Cambria" w:hAnsi="Cambria" w:eastAsia="宋体" w:cs="Times New Roman"/>
      <w:b/>
      <w:bCs/>
      <w:sz w:val="24"/>
      <w:szCs w:val="24"/>
    </w:rPr>
  </w:style>
  <w:style w:type="character" w:customStyle="1" w:styleId="98">
    <w:name w:val="Char Char16"/>
    <w:qFormat/>
    <w:uiPriority w:val="0"/>
    <w:rPr>
      <w:rFonts w:ascii="Calibri" w:hAnsi="Calibri" w:eastAsia="宋体" w:cs="Times New Roman"/>
      <w:b/>
      <w:bCs/>
      <w:sz w:val="24"/>
      <w:szCs w:val="24"/>
    </w:rPr>
  </w:style>
  <w:style w:type="character" w:customStyle="1" w:styleId="99">
    <w:name w:val="Char Char15"/>
    <w:qFormat/>
    <w:uiPriority w:val="0"/>
    <w:rPr>
      <w:rFonts w:ascii="Cambria" w:hAnsi="Cambria" w:eastAsia="宋体" w:cs="Times New Roman"/>
      <w:sz w:val="24"/>
      <w:szCs w:val="24"/>
    </w:rPr>
  </w:style>
  <w:style w:type="character" w:customStyle="1" w:styleId="100">
    <w:name w:val="Char Char14"/>
    <w:qFormat/>
    <w:uiPriority w:val="0"/>
    <w:rPr>
      <w:rFonts w:ascii="Cambria" w:hAnsi="Cambria" w:eastAsia="宋体" w:cs="Times New Roman"/>
      <w:sz w:val="21"/>
      <w:szCs w:val="21"/>
    </w:rPr>
  </w:style>
  <w:style w:type="character" w:customStyle="1" w:styleId="101">
    <w:name w:val="Char Char13"/>
    <w:qFormat/>
    <w:uiPriority w:val="0"/>
    <w:rPr>
      <w:rFonts w:ascii="Times New Roman" w:hAnsi="Times New Roman" w:eastAsia="宋体" w:cs="Times New Roman"/>
      <w:kern w:val="2"/>
      <w:sz w:val="18"/>
      <w:szCs w:val="18"/>
    </w:rPr>
  </w:style>
  <w:style w:type="character" w:customStyle="1" w:styleId="102">
    <w:name w:val="正文小标题 Char Char"/>
    <w:qFormat/>
    <w:uiPriority w:val="0"/>
    <w:rPr>
      <w:rFonts w:ascii="仿宋_GB2312" w:hAnsi="Times New Roman" w:eastAsia="仿宋_GB2312" w:cs="Times New Roman"/>
      <w:kern w:val="2"/>
      <w:sz w:val="32"/>
      <w:szCs w:val="20"/>
    </w:rPr>
  </w:style>
  <w:style w:type="character" w:customStyle="1" w:styleId="103">
    <w:name w:val="Char Char12"/>
    <w:qFormat/>
    <w:uiPriority w:val="0"/>
    <w:rPr>
      <w:rFonts w:ascii="Times New Roman" w:hAnsi="Times New Roman" w:eastAsia="宋体" w:cs="Times New Roman"/>
      <w:kern w:val="2"/>
      <w:sz w:val="18"/>
      <w:szCs w:val="18"/>
    </w:rPr>
  </w:style>
  <w:style w:type="paragraph" w:customStyle="1" w:styleId="10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05">
    <w:name w:val="默认段落字体 Para Char"/>
    <w:basedOn w:val="1"/>
    <w:qFormat/>
    <w:uiPriority w:val="0"/>
    <w:rPr>
      <w:rFonts w:ascii="宋体" w:hAnsi="宋体"/>
      <w:b/>
      <w:sz w:val="28"/>
      <w:szCs w:val="28"/>
    </w:rPr>
  </w:style>
  <w:style w:type="paragraph" w:customStyle="1" w:styleId="10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7">
    <w:name w:val="表格文字"/>
    <w:basedOn w:val="1"/>
    <w:qFormat/>
    <w:uiPriority w:val="0"/>
    <w:pPr>
      <w:spacing w:before="25" w:after="25"/>
      <w:jc w:val="left"/>
    </w:pPr>
    <w:rPr>
      <w:bCs/>
      <w:spacing w:val="10"/>
      <w:kern w:val="0"/>
      <w:sz w:val="24"/>
      <w:szCs w:val="20"/>
    </w:rPr>
  </w:style>
  <w:style w:type="paragraph" w:customStyle="1" w:styleId="1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9">
    <w:name w:val="题注5"/>
    <w:basedOn w:val="1"/>
    <w:next w:val="15"/>
    <w:qFormat/>
    <w:uiPriority w:val="0"/>
    <w:pPr>
      <w:jc w:val="center"/>
    </w:pPr>
    <w:rPr>
      <w:b/>
      <w:color w:val="000000"/>
      <w:sz w:val="24"/>
      <w:szCs w:val="21"/>
    </w:rPr>
  </w:style>
  <w:style w:type="paragraph" w:customStyle="1" w:styleId="110">
    <w:name w:val="Char Char Char Char Char Char Char"/>
    <w:basedOn w:val="1"/>
    <w:qFormat/>
    <w:uiPriority w:val="0"/>
    <w:pPr>
      <w:tabs>
        <w:tab w:val="left" w:pos="425"/>
      </w:tabs>
      <w:ind w:left="425" w:hanging="425"/>
    </w:pPr>
    <w:rPr>
      <w:rFonts w:eastAsia="仿宋_GB2312"/>
      <w:kern w:val="24"/>
      <w:sz w:val="24"/>
    </w:rPr>
  </w:style>
  <w:style w:type="character" w:customStyle="1" w:styleId="111">
    <w:name w:val="Char Char11"/>
    <w:qFormat/>
    <w:uiPriority w:val="0"/>
    <w:rPr>
      <w:rFonts w:ascii="Times New Roman" w:hAnsi="Times New Roman" w:eastAsia="宋体" w:cs="Times New Roman"/>
      <w:kern w:val="2"/>
      <w:sz w:val="21"/>
      <w:szCs w:val="20"/>
    </w:rPr>
  </w:style>
  <w:style w:type="paragraph" w:customStyle="1" w:styleId="112">
    <w:name w:val="题注4"/>
    <w:basedOn w:val="1"/>
    <w:next w:val="15"/>
    <w:qFormat/>
    <w:uiPriority w:val="0"/>
    <w:pPr>
      <w:ind w:left="-132" w:leftChars="-64" w:right="-105" w:rightChars="-50" w:hanging="2"/>
      <w:jc w:val="center"/>
    </w:pPr>
    <w:rPr>
      <w:b/>
      <w:color w:val="FF0000"/>
      <w:szCs w:val="21"/>
      <w:lang w:val="en-GB"/>
    </w:rPr>
  </w:style>
  <w:style w:type="paragraph" w:customStyle="1" w:styleId="113">
    <w:name w:val="Char Char2 Char"/>
    <w:basedOn w:val="1"/>
    <w:qFormat/>
    <w:uiPriority w:val="0"/>
    <w:rPr>
      <w:rFonts w:ascii="宋体" w:hAnsi="宋体"/>
      <w:b/>
      <w:sz w:val="28"/>
      <w:szCs w:val="28"/>
    </w:rPr>
  </w:style>
  <w:style w:type="paragraph" w:customStyle="1" w:styleId="114">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6">
    <w:name w:val="办公自动化专用标题"/>
    <w:basedOn w:val="46"/>
    <w:qFormat/>
    <w:uiPriority w:val="0"/>
    <w:pPr>
      <w:spacing w:line="560" w:lineRule="atLeast"/>
    </w:pPr>
    <w:rPr>
      <w:rFonts w:ascii="宋体" w:hAnsi="Arial"/>
      <w:bCs w:val="0"/>
      <w:sz w:val="44"/>
      <w:szCs w:val="20"/>
    </w:rPr>
  </w:style>
  <w:style w:type="paragraph" w:customStyle="1" w:styleId="117">
    <w:name w:val="Zchn Zchn"/>
    <w:basedOn w:val="1"/>
    <w:qFormat/>
    <w:uiPriority w:val="0"/>
    <w:rPr>
      <w:rFonts w:ascii="Tahoma" w:hAnsi="Tahoma"/>
      <w:sz w:val="24"/>
      <w:szCs w:val="20"/>
    </w:rPr>
  </w:style>
  <w:style w:type="paragraph" w:customStyle="1" w:styleId="118">
    <w:name w:val="Char Char Char"/>
    <w:basedOn w:val="1"/>
    <w:qFormat/>
    <w:uiPriority w:val="0"/>
    <w:rPr>
      <w:rFonts w:ascii="Tahoma" w:hAnsi="Tahoma"/>
      <w:sz w:val="24"/>
      <w:szCs w:val="20"/>
    </w:rPr>
  </w:style>
  <w:style w:type="character" w:customStyle="1" w:styleId="119">
    <w:name w:val="fontorange1"/>
    <w:qFormat/>
    <w:uiPriority w:val="0"/>
    <w:rPr>
      <w:rFonts w:hint="default" w:ascii="ˎ̥" w:hAnsi="ˎ̥" w:eastAsia="宋体"/>
      <w:color w:val="FF6600"/>
      <w:kern w:val="2"/>
      <w:sz w:val="18"/>
      <w:szCs w:val="18"/>
      <w:lang w:val="en-US" w:eastAsia="zh-CN" w:bidi="ar-SA"/>
    </w:rPr>
  </w:style>
  <w:style w:type="character" w:customStyle="1" w:styleId="120">
    <w:name w:val="ca-12"/>
    <w:qFormat/>
    <w:uiPriority w:val="0"/>
    <w:rPr>
      <w:rFonts w:eastAsia="宋体" w:cs="Times New Roman"/>
      <w:kern w:val="2"/>
      <w:sz w:val="24"/>
      <w:szCs w:val="24"/>
      <w:lang w:val="en-US" w:eastAsia="zh-CN" w:bidi="ar-SA"/>
    </w:rPr>
  </w:style>
  <w:style w:type="paragraph" w:customStyle="1" w:styleId="121">
    <w:name w:val="Char Char2 Char Char Char Char Char"/>
    <w:basedOn w:val="1"/>
    <w:qFormat/>
    <w:uiPriority w:val="0"/>
    <w:pPr>
      <w:numPr>
        <w:ilvl w:val="0"/>
        <w:numId w:val="3"/>
      </w:numPr>
    </w:pPr>
    <w:rPr>
      <w:sz w:val="24"/>
    </w:rPr>
  </w:style>
  <w:style w:type="paragraph" w:customStyle="1" w:styleId="12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123">
    <w:name w:val="标题-3"/>
    <w:basedOn w:val="1"/>
    <w:link w:val="124"/>
    <w:qFormat/>
    <w:uiPriority w:val="0"/>
    <w:pPr>
      <w:spacing w:beforeLines="50" w:afterLines="50"/>
      <w:outlineLvl w:val="2"/>
    </w:pPr>
    <w:rPr>
      <w:rFonts w:ascii="宋体" w:hAnsi="宋体"/>
      <w:b/>
      <w:kern w:val="0"/>
      <w:sz w:val="24"/>
    </w:rPr>
  </w:style>
  <w:style w:type="character" w:customStyle="1" w:styleId="124">
    <w:name w:val="标题-3 Char"/>
    <w:link w:val="123"/>
    <w:qFormat/>
    <w:uiPriority w:val="0"/>
    <w:rPr>
      <w:rFonts w:ascii="宋体" w:hAnsi="宋体" w:eastAsia="宋体"/>
      <w:b/>
      <w:sz w:val="24"/>
      <w:szCs w:val="24"/>
      <w:lang w:bidi="ar-SA"/>
    </w:rPr>
  </w:style>
  <w:style w:type="paragraph" w:customStyle="1" w:styleId="125">
    <w:name w:val="Char Char Char Char"/>
    <w:basedOn w:val="1"/>
    <w:qFormat/>
    <w:uiPriority w:val="0"/>
    <w:pPr>
      <w:tabs>
        <w:tab w:val="left" w:pos="780"/>
      </w:tabs>
      <w:ind w:left="780" w:hanging="360"/>
    </w:pPr>
    <w:rPr>
      <w:sz w:val="24"/>
    </w:rPr>
  </w:style>
  <w:style w:type="paragraph" w:customStyle="1" w:styleId="12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27">
    <w:name w:val="修订1"/>
    <w:hidden/>
    <w:semiHidden/>
    <w:qFormat/>
    <w:uiPriority w:val="0"/>
    <w:rPr>
      <w:rFonts w:ascii="Times New Roman" w:hAnsi="Times New Roman" w:eastAsia="宋体" w:cs="Times New Roman"/>
      <w:kern w:val="2"/>
      <w:sz w:val="21"/>
      <w:szCs w:val="24"/>
      <w:lang w:val="en-US" w:eastAsia="zh-CN" w:bidi="ar-SA"/>
    </w:rPr>
  </w:style>
  <w:style w:type="character" w:customStyle="1" w:styleId="128">
    <w:name w:val="2nd level Char"/>
    <w:qFormat/>
    <w:uiPriority w:val="0"/>
    <w:rPr>
      <w:rFonts w:ascii="Arial" w:hAnsi="Arial" w:eastAsia="黑体" w:cs="Times New Roman"/>
      <w:b/>
      <w:bCs/>
      <w:kern w:val="2"/>
      <w:sz w:val="32"/>
      <w:szCs w:val="32"/>
    </w:rPr>
  </w:style>
  <w:style w:type="character" w:customStyle="1" w:styleId="129">
    <w:name w:val="Char Char171"/>
    <w:qFormat/>
    <w:uiPriority w:val="0"/>
    <w:rPr>
      <w:rFonts w:ascii="Calibri" w:hAnsi="Calibri" w:eastAsia="宋体" w:cs="Times New Roman"/>
      <w:b/>
      <w:bCs/>
      <w:kern w:val="2"/>
      <w:sz w:val="32"/>
      <w:szCs w:val="32"/>
      <w:lang w:val="en-US" w:eastAsia="zh-CN" w:bidi="ar-SA"/>
    </w:rPr>
  </w:style>
  <w:style w:type="character" w:customStyle="1" w:styleId="130">
    <w:name w:val="Char Char9"/>
    <w:qFormat/>
    <w:uiPriority w:val="0"/>
    <w:rPr>
      <w:rFonts w:ascii="Calibri" w:hAnsi="Calibri" w:eastAsia="宋体" w:cs="Times New Roman"/>
      <w:kern w:val="2"/>
      <w:sz w:val="18"/>
      <w:szCs w:val="18"/>
      <w:lang w:val="en-US" w:eastAsia="zh-CN" w:bidi="ar-SA"/>
    </w:rPr>
  </w:style>
  <w:style w:type="paragraph" w:customStyle="1" w:styleId="131">
    <w:name w:val="List Paragraph1"/>
    <w:basedOn w:val="1"/>
    <w:qFormat/>
    <w:uiPriority w:val="0"/>
    <w:pPr>
      <w:widowControl/>
      <w:spacing w:after="200" w:line="276" w:lineRule="auto"/>
      <w:ind w:left="720"/>
      <w:jc w:val="left"/>
    </w:pPr>
    <w:rPr>
      <w:rFonts w:ascii="Calibri" w:hAnsi="Calibri"/>
      <w:kern w:val="0"/>
      <w:sz w:val="22"/>
      <w:szCs w:val="22"/>
    </w:rPr>
  </w:style>
  <w:style w:type="character" w:customStyle="1" w:styleId="132">
    <w:name w:val="无缩进 Char"/>
    <w:qFormat/>
    <w:uiPriority w:val="0"/>
    <w:rPr>
      <w:rFonts w:ascii="Times New Roman" w:hAnsi="Times New Roman" w:eastAsia="宋体" w:cs="Times New Roman"/>
      <w:kern w:val="2"/>
      <w:sz w:val="21"/>
      <w:szCs w:val="20"/>
    </w:rPr>
  </w:style>
  <w:style w:type="character" w:customStyle="1" w:styleId="133">
    <w:name w:val="short_text"/>
    <w:qFormat/>
    <w:uiPriority w:val="0"/>
    <w:rPr>
      <w:rFonts w:eastAsia="宋体"/>
      <w:kern w:val="2"/>
      <w:sz w:val="24"/>
      <w:szCs w:val="24"/>
      <w:lang w:val="en-US" w:eastAsia="zh-CN" w:bidi="ar-SA"/>
    </w:rPr>
  </w:style>
  <w:style w:type="paragraph" w:customStyle="1" w:styleId="134">
    <w:name w:val="TOC 标题1"/>
    <w:basedOn w:val="2"/>
    <w:next w:val="1"/>
    <w:qFormat/>
    <w:uiPriority w:val="0"/>
    <w:pPr>
      <w:widowControl/>
      <w:numPr>
        <w:ilvl w:val="0"/>
        <w:numId w:val="4"/>
      </w:numPr>
      <w:spacing w:before="480" w:after="0" w:line="276" w:lineRule="auto"/>
      <w:jc w:val="left"/>
      <w:outlineLvl w:val="9"/>
    </w:pPr>
    <w:rPr>
      <w:rFonts w:ascii="Cambria" w:hAnsi="Cambria"/>
      <w:color w:val="365F91"/>
      <w:kern w:val="0"/>
      <w:sz w:val="28"/>
      <w:szCs w:val="28"/>
    </w:rPr>
  </w:style>
  <w:style w:type="paragraph" w:customStyle="1" w:styleId="135">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36">
    <w:name w:val="四级标题"/>
    <w:basedOn w:val="1"/>
    <w:link w:val="137"/>
    <w:qFormat/>
    <w:uiPriority w:val="0"/>
    <w:pPr>
      <w:numPr>
        <w:ilvl w:val="0"/>
        <w:numId w:val="5"/>
      </w:numPr>
      <w:spacing w:line="360" w:lineRule="auto"/>
      <w:outlineLvl w:val="3"/>
    </w:pPr>
    <w:rPr>
      <w:rFonts w:ascii="Calibri" w:hAnsi="Calibri" w:eastAsia="黑体"/>
      <w:b/>
      <w:sz w:val="28"/>
      <w:szCs w:val="20"/>
    </w:rPr>
  </w:style>
  <w:style w:type="character" w:customStyle="1" w:styleId="137">
    <w:name w:val="四级标题 Char"/>
    <w:link w:val="136"/>
    <w:qFormat/>
    <w:uiPriority w:val="0"/>
    <w:rPr>
      <w:rFonts w:eastAsia="黑体"/>
      <w:b/>
      <w:kern w:val="2"/>
      <w:sz w:val="28"/>
      <w:lang w:bidi="ar-SA"/>
    </w:rPr>
  </w:style>
  <w:style w:type="paragraph" w:customStyle="1" w:styleId="138">
    <w:name w:val="五级标题"/>
    <w:basedOn w:val="1"/>
    <w:link w:val="139"/>
    <w:qFormat/>
    <w:uiPriority w:val="0"/>
    <w:pPr>
      <w:numPr>
        <w:ilvl w:val="0"/>
        <w:numId w:val="6"/>
      </w:numPr>
      <w:spacing w:line="360" w:lineRule="auto"/>
      <w:outlineLvl w:val="4"/>
    </w:pPr>
    <w:rPr>
      <w:rFonts w:ascii="Calibri" w:hAnsi="Calibri" w:eastAsia="黑体"/>
      <w:b/>
      <w:sz w:val="28"/>
      <w:szCs w:val="20"/>
    </w:rPr>
  </w:style>
  <w:style w:type="character" w:customStyle="1" w:styleId="139">
    <w:name w:val="五级标题 Char"/>
    <w:link w:val="138"/>
    <w:qFormat/>
    <w:uiPriority w:val="0"/>
    <w:rPr>
      <w:rFonts w:eastAsia="黑体"/>
      <w:b/>
      <w:kern w:val="2"/>
      <w:sz w:val="28"/>
      <w:lang w:bidi="ar-SA"/>
    </w:rPr>
  </w:style>
  <w:style w:type="paragraph" w:customStyle="1" w:styleId="140">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41">
    <w:name w:val="招标文件样式2"/>
    <w:basedOn w:val="1"/>
    <w:qFormat/>
    <w:uiPriority w:val="0"/>
    <w:pPr>
      <w:jc w:val="center"/>
      <w:outlineLvl w:val="0"/>
    </w:pPr>
    <w:rPr>
      <w:rFonts w:ascii="宋体" w:hAnsi="宋体"/>
      <w:b/>
      <w:sz w:val="28"/>
      <w:szCs w:val="28"/>
    </w:rPr>
  </w:style>
  <w:style w:type="paragraph" w:customStyle="1" w:styleId="14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6DFCB6-28A4-4CBF-B821-AA8F657B0FEB}">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27</Pages>
  <Words>2461</Words>
  <Characters>14033</Characters>
  <Lines>116</Lines>
  <Paragraphs>32</Paragraphs>
  <TotalTime>1</TotalTime>
  <ScaleCrop>false</ScaleCrop>
  <LinksUpToDate>false</LinksUpToDate>
  <CharactersWithSpaces>16462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2017-07-10T11:35:00Z</dcterms:created>
  <dc:creator>唐冰</dc:creator>
  <cp:lastModifiedBy>庞东牌</cp:lastModifiedBy>
  <cp:lastPrinted>2019-05-31T08:22:00Z</cp:lastPrinted>
  <dcterms:modified xsi:type="dcterms:W3CDTF">2020-04-20T03:32:44Z</dcterms:modified>
  <dc:title>竞争性谈判文件规范</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