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color w:val="FF0000"/>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hint="eastAsia" w:ascii="方正小标宋_GBK" w:hAnsi="方正小标宋_GBK" w:eastAsia="方正小标宋_GBK" w:cs="方正小标宋_GBK"/>
          <w:b w:val="0"/>
          <w:bCs/>
          <w:color w:val="auto"/>
          <w:sz w:val="72"/>
          <w:szCs w:val="72"/>
          <w:highlight w:val="none"/>
        </w:rPr>
      </w:pPr>
      <w:r>
        <w:rPr>
          <w:rFonts w:hint="eastAsia" w:ascii="方正小标宋_GBK" w:hAnsi="方正小标宋_GBK" w:eastAsia="方正小标宋_GBK" w:cs="方正小标宋_GBK"/>
          <w:b w:val="0"/>
          <w:bCs/>
          <w:color w:val="auto"/>
          <w:sz w:val="72"/>
          <w:szCs w:val="72"/>
          <w:highlight w:val="none"/>
        </w:rPr>
        <w:t>谈判采购文件</w:t>
      </w:r>
    </w:p>
    <w:p>
      <w:pPr>
        <w:spacing w:beforeLines="100" w:afterLines="50" w:line="600" w:lineRule="exact"/>
        <w:jc w:val="center"/>
        <w:rPr>
          <w:rFonts w:ascii="宋体" w:hAnsi="宋体"/>
          <w:b/>
          <w:color w:val="auto"/>
          <w:sz w:val="72"/>
          <w:szCs w:val="72"/>
          <w:highlight w:val="none"/>
        </w:rPr>
      </w:pPr>
    </w:p>
    <w:p>
      <w:pPr>
        <w:spacing w:beforeLines="100" w:afterLines="50" w:line="600" w:lineRule="exact"/>
        <w:jc w:val="center"/>
        <w:rPr>
          <w:rFonts w:ascii="宋体" w:hAnsi="宋体"/>
          <w:b/>
          <w:color w:val="auto"/>
          <w:sz w:val="72"/>
          <w:szCs w:val="72"/>
          <w:highlight w:val="none"/>
        </w:rPr>
      </w:pPr>
    </w:p>
    <w:p>
      <w:pPr>
        <w:spacing w:line="400" w:lineRule="exact"/>
        <w:jc w:val="center"/>
        <w:rPr>
          <w:rFonts w:ascii="宋体" w:hAnsi="宋体"/>
          <w:b/>
          <w:color w:val="auto"/>
          <w:sz w:val="32"/>
          <w:szCs w:val="32"/>
          <w:highlight w:val="none"/>
        </w:rPr>
      </w:pPr>
    </w:p>
    <w:p>
      <w:pPr>
        <w:spacing w:line="400" w:lineRule="exact"/>
        <w:ind w:right="804" w:rightChars="383" w:firstLine="321" w:firstLineChars="100"/>
        <w:rPr>
          <w:rFonts w:ascii="宋体" w:hAnsi="宋体"/>
          <w:b/>
          <w:color w:val="auto"/>
          <w:sz w:val="32"/>
          <w:szCs w:val="32"/>
          <w:highlight w:val="none"/>
        </w:rPr>
      </w:pPr>
      <w:r>
        <w:rPr>
          <w:rFonts w:hint="eastAsia" w:ascii="宋体" w:hAnsi="宋体"/>
          <w:b/>
          <w:color w:val="auto"/>
          <w:sz w:val="32"/>
          <w:szCs w:val="32"/>
          <w:highlight w:val="none"/>
        </w:rPr>
        <w:t>项目编号：</w:t>
      </w:r>
      <w:r>
        <w:rPr>
          <w:rFonts w:hint="default" w:ascii="Times New Roman" w:hAnsi="Times New Roman" w:eastAsia="微软雅黑" w:cs="Times New Roman"/>
          <w:i w:val="0"/>
          <w:caps w:val="0"/>
          <w:color w:val="111F2C"/>
          <w:spacing w:val="0"/>
          <w:sz w:val="32"/>
          <w:szCs w:val="32"/>
          <w:shd w:val="clear" w:color="auto" w:fill="FFFFFF"/>
        </w:rPr>
        <w:t>GIEG2020HZ-0047</w:t>
      </w:r>
    </w:p>
    <w:p>
      <w:pPr>
        <w:spacing w:line="400" w:lineRule="exact"/>
        <w:ind w:right="804" w:rightChars="383"/>
        <w:jc w:val="center"/>
        <w:rPr>
          <w:rFonts w:ascii="宋体" w:hAnsi="宋体"/>
          <w:b/>
          <w:color w:val="auto"/>
          <w:sz w:val="32"/>
          <w:szCs w:val="32"/>
          <w:highlight w:val="none"/>
        </w:rPr>
      </w:pPr>
    </w:p>
    <w:p>
      <w:pPr>
        <w:spacing w:line="400" w:lineRule="exact"/>
        <w:ind w:right="-44" w:rightChars="-21" w:firstLine="321" w:firstLineChars="100"/>
        <w:rPr>
          <w:rFonts w:ascii="宋体" w:hAnsi="宋体"/>
          <w:b/>
          <w:color w:val="auto"/>
          <w:sz w:val="32"/>
          <w:szCs w:val="32"/>
          <w:highlight w:val="none"/>
        </w:rPr>
      </w:pPr>
      <w:r>
        <w:rPr>
          <w:rFonts w:hint="eastAsia" w:ascii="宋体" w:hAnsi="宋体"/>
          <w:b/>
          <w:color w:val="auto"/>
          <w:sz w:val="32"/>
          <w:szCs w:val="32"/>
          <w:highlight w:val="none"/>
        </w:rPr>
        <w:t>项目名称：南宁国际会展中心球馆</w:t>
      </w:r>
      <w:r>
        <w:rPr>
          <w:rFonts w:hint="eastAsia" w:ascii="宋体" w:hAnsi="宋体"/>
          <w:b/>
          <w:color w:val="auto"/>
          <w:sz w:val="32"/>
          <w:szCs w:val="32"/>
          <w:highlight w:val="none"/>
          <w:lang w:eastAsia="zh-CN"/>
        </w:rPr>
        <w:t>设施</w:t>
      </w:r>
      <w:r>
        <w:rPr>
          <w:rFonts w:hint="eastAsia" w:ascii="宋体" w:hAnsi="宋体"/>
          <w:b/>
          <w:color w:val="auto"/>
          <w:sz w:val="32"/>
          <w:szCs w:val="32"/>
          <w:highlight w:val="none"/>
        </w:rPr>
        <w:t>搬迁拆装服务采购</w:t>
      </w:r>
    </w:p>
    <w:p>
      <w:pPr>
        <w:spacing w:line="400" w:lineRule="exact"/>
        <w:ind w:right="804" w:rightChars="383"/>
        <w:jc w:val="center"/>
        <w:rPr>
          <w:rFonts w:ascii="宋体" w:hAnsi="宋体"/>
          <w:b/>
          <w:color w:val="auto"/>
          <w:sz w:val="32"/>
          <w:szCs w:val="32"/>
          <w:highlight w:val="none"/>
        </w:rPr>
      </w:pPr>
    </w:p>
    <w:p>
      <w:pPr>
        <w:spacing w:line="400" w:lineRule="exact"/>
        <w:ind w:right="804" w:rightChars="383" w:firstLine="321" w:firstLineChars="100"/>
        <w:rPr>
          <w:rFonts w:ascii="宋体" w:hAnsi="宋体"/>
          <w:b/>
          <w:color w:val="auto"/>
          <w:sz w:val="32"/>
          <w:szCs w:val="32"/>
          <w:highlight w:val="none"/>
        </w:rPr>
      </w:pPr>
      <w:r>
        <w:rPr>
          <w:rFonts w:hint="eastAsia" w:ascii="宋体" w:hAnsi="宋体"/>
          <w:b/>
          <w:color w:val="auto"/>
          <w:sz w:val="32"/>
          <w:szCs w:val="32"/>
          <w:highlight w:val="none"/>
        </w:rPr>
        <w:t>采购单位：广西东博会场馆运营有限公司</w:t>
      </w:r>
    </w:p>
    <w:p>
      <w:pPr>
        <w:spacing w:line="400" w:lineRule="exact"/>
        <w:ind w:right="804" w:rightChars="383"/>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2020年</w:t>
      </w:r>
      <w:r>
        <w:rPr>
          <w:rFonts w:hint="default" w:ascii="宋体" w:hAnsi="宋体"/>
          <w:b/>
          <w:color w:val="auto"/>
          <w:sz w:val="32"/>
          <w:szCs w:val="32"/>
          <w:highlight w:val="none"/>
        </w:rPr>
        <w:t>5</w:t>
      </w:r>
      <w:r>
        <w:rPr>
          <w:rFonts w:hint="eastAsia" w:ascii="宋体" w:hAnsi="宋体"/>
          <w:b/>
          <w:color w:val="auto"/>
          <w:sz w:val="32"/>
          <w:szCs w:val="32"/>
          <w:highlight w:val="none"/>
        </w:rPr>
        <w:t>月</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646" w:bottom="1440" w:left="1800" w:header="851" w:footer="992" w:gutter="0"/>
          <w:pgNumType w:start="0"/>
          <w:cols w:space="425" w:num="1"/>
          <w:titlePg/>
          <w:docGrid w:type="lines" w:linePitch="312" w:charSpace="0"/>
        </w:sect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41"/>
        <w:tabs>
          <w:tab w:val="left" w:pos="1230"/>
          <w:tab w:val="right" w:leader="dot" w:pos="8296"/>
        </w:tabs>
        <w:spacing w:line="360" w:lineRule="auto"/>
        <w:rPr>
          <w:rFonts w:ascii="宋体" w:hAnsi="宋体"/>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"_Toc393040184" </w:instrText>
      </w:r>
      <w:r>
        <w:rPr>
          <w:color w:val="auto"/>
          <w:highlight w:val="none"/>
        </w:rPr>
        <w:fldChar w:fldCharType="separate"/>
      </w:r>
      <w:r>
        <w:rPr>
          <w:rStyle w:val="54"/>
          <w:rFonts w:hint="eastAsia" w:ascii="宋体" w:hAnsi="宋体"/>
          <w:color w:val="auto"/>
          <w:sz w:val="24"/>
          <w:highlight w:val="none"/>
        </w:rPr>
        <w:t>第一章</w:t>
      </w:r>
      <w:r>
        <w:rPr>
          <w:rFonts w:ascii="宋体" w:hAnsi="宋体"/>
          <w:color w:val="auto"/>
          <w:sz w:val="24"/>
          <w:highlight w:val="none"/>
        </w:rPr>
        <w:tab/>
      </w:r>
      <w:r>
        <w:rPr>
          <w:rStyle w:val="54"/>
          <w:rFonts w:hint="eastAsia" w:ascii="宋体" w:hAnsi="宋体"/>
          <w:color w:val="auto"/>
          <w:sz w:val="24"/>
          <w:highlight w:val="none"/>
        </w:rPr>
        <w:t>谈判采购公告</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_Toc393040184 \h </w:instrText>
      </w:r>
      <w:r>
        <w:rPr>
          <w:rFonts w:ascii="宋体" w:hAnsi="宋体"/>
          <w:color w:val="auto"/>
          <w:sz w:val="24"/>
          <w:highlight w:val="none"/>
        </w:rPr>
        <w:fldChar w:fldCharType="separate"/>
      </w:r>
      <w:r>
        <w:rPr>
          <w:rFonts w:ascii="宋体" w:hAnsi="宋体"/>
          <w:color w:val="auto"/>
          <w:sz w:val="24"/>
          <w:highlight w:val="none"/>
        </w:rPr>
        <w:t>1</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"_Toc393040185" </w:instrText>
      </w:r>
      <w:r>
        <w:rPr>
          <w:color w:val="auto"/>
          <w:highlight w:val="none"/>
        </w:rPr>
        <w:fldChar w:fldCharType="separate"/>
      </w:r>
      <w:r>
        <w:rPr>
          <w:rStyle w:val="54"/>
          <w:rFonts w:hint="eastAsia" w:ascii="宋体" w:hAnsi="宋体"/>
          <w:color w:val="auto"/>
          <w:sz w:val="24"/>
          <w:highlight w:val="none"/>
        </w:rPr>
        <w:t>第二章供应商须知</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_Toc393040185 \h </w:instrText>
      </w:r>
      <w:r>
        <w:rPr>
          <w:rFonts w:ascii="宋体" w:hAnsi="宋体"/>
          <w:color w:val="auto"/>
          <w:sz w:val="24"/>
          <w:highlight w:val="none"/>
        </w:rPr>
        <w:fldChar w:fldCharType="separate"/>
      </w:r>
      <w:r>
        <w:rPr>
          <w:rFonts w:ascii="宋体" w:hAnsi="宋体"/>
          <w:color w:val="auto"/>
          <w:sz w:val="24"/>
          <w:highlight w:val="none"/>
        </w:rPr>
        <w:t>2</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"_Toc393040186" </w:instrText>
      </w:r>
      <w:r>
        <w:rPr>
          <w:color w:val="auto"/>
          <w:highlight w:val="none"/>
        </w:rPr>
        <w:fldChar w:fldCharType="separate"/>
      </w:r>
      <w:r>
        <w:rPr>
          <w:rStyle w:val="54"/>
          <w:rFonts w:hint="eastAsia" w:ascii="宋体" w:hAnsi="宋体"/>
          <w:color w:val="auto"/>
          <w:sz w:val="24"/>
          <w:highlight w:val="none"/>
        </w:rPr>
        <w:t>第三章项目需求</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_Toc393040186 \h </w:instrText>
      </w:r>
      <w:r>
        <w:rPr>
          <w:rFonts w:ascii="宋体" w:hAnsi="宋体"/>
          <w:color w:val="auto"/>
          <w:sz w:val="24"/>
          <w:highlight w:val="none"/>
        </w:rPr>
        <w:fldChar w:fldCharType="separate"/>
      </w:r>
      <w:r>
        <w:rPr>
          <w:rFonts w:ascii="宋体" w:hAnsi="宋体"/>
          <w:color w:val="auto"/>
          <w:sz w:val="24"/>
          <w:highlight w:val="none"/>
        </w:rPr>
        <w:t>9</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"_Toc393040187" </w:instrText>
      </w:r>
      <w:r>
        <w:rPr>
          <w:color w:val="auto"/>
          <w:highlight w:val="none"/>
        </w:rPr>
        <w:fldChar w:fldCharType="separate"/>
      </w:r>
      <w:r>
        <w:rPr>
          <w:rStyle w:val="54"/>
          <w:rFonts w:hint="eastAsia" w:ascii="宋体" w:hAnsi="宋体"/>
          <w:color w:val="auto"/>
          <w:sz w:val="24"/>
          <w:highlight w:val="none"/>
        </w:rPr>
        <w:t>第四章评审方法</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_Toc393040187 \h </w:instrText>
      </w:r>
      <w:r>
        <w:rPr>
          <w:rFonts w:ascii="宋体" w:hAnsi="宋体"/>
          <w:color w:val="auto"/>
          <w:sz w:val="24"/>
          <w:highlight w:val="none"/>
        </w:rPr>
        <w:fldChar w:fldCharType="separate"/>
      </w:r>
      <w:r>
        <w:rPr>
          <w:rFonts w:ascii="宋体" w:hAnsi="宋体"/>
          <w:color w:val="auto"/>
          <w:sz w:val="24"/>
          <w:highlight w:val="none"/>
        </w:rPr>
        <w:t>13</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"_Toc393040191" </w:instrText>
      </w:r>
      <w:r>
        <w:rPr>
          <w:color w:val="auto"/>
          <w:highlight w:val="none"/>
        </w:rPr>
        <w:fldChar w:fldCharType="separate"/>
      </w:r>
      <w:r>
        <w:rPr>
          <w:rStyle w:val="54"/>
          <w:rFonts w:hint="eastAsia" w:ascii="宋体" w:hAnsi="宋体"/>
          <w:color w:val="auto"/>
          <w:sz w:val="24"/>
          <w:highlight w:val="none"/>
        </w:rPr>
        <w:t>第五章响应文件格式</w:t>
      </w:r>
      <w:r>
        <w:rPr>
          <w:rFonts w:ascii="宋体" w:hAnsi="宋体"/>
          <w:color w:val="auto"/>
          <w:sz w:val="24"/>
          <w:highlight w:val="none"/>
        </w:rPr>
        <w:tab/>
      </w:r>
      <w:r>
        <w:rPr>
          <w:rFonts w:ascii="宋体" w:hAnsi="宋体"/>
          <w:color w:val="auto"/>
          <w:sz w:val="24"/>
          <w:highlight w:val="none"/>
        </w:rPr>
        <w:fldChar w:fldCharType="begin"/>
      </w:r>
      <w:r>
        <w:rPr>
          <w:rFonts w:ascii="宋体" w:hAnsi="宋体"/>
          <w:color w:val="auto"/>
          <w:sz w:val="24"/>
          <w:highlight w:val="none"/>
        </w:rPr>
        <w:instrText xml:space="preserve"> PAGEREF _Toc393040191 \h </w:instrText>
      </w:r>
      <w:r>
        <w:rPr>
          <w:rFonts w:ascii="宋体" w:hAnsi="宋体"/>
          <w:color w:val="auto"/>
          <w:sz w:val="24"/>
          <w:highlight w:val="none"/>
        </w:rPr>
        <w:fldChar w:fldCharType="separate"/>
      </w:r>
      <w:r>
        <w:rPr>
          <w:rFonts w:ascii="宋体" w:hAnsi="宋体"/>
          <w:color w:val="auto"/>
          <w:sz w:val="24"/>
          <w:highlight w:val="none"/>
        </w:rPr>
        <w:t>14</w:t>
      </w:r>
      <w:r>
        <w:rPr>
          <w:rFonts w:ascii="宋体" w:hAnsi="宋体"/>
          <w:color w:val="auto"/>
          <w:sz w:val="24"/>
          <w:highlight w:val="none"/>
        </w:rPr>
        <w:fldChar w:fldCharType="end"/>
      </w:r>
      <w:r>
        <w:rPr>
          <w:rFonts w:ascii="宋体" w:hAnsi="宋体"/>
          <w:color w:val="auto"/>
          <w:sz w:val="24"/>
          <w:highlight w:val="none"/>
        </w:rPr>
        <w:fldChar w:fldCharType="end"/>
      </w:r>
    </w:p>
    <w:p>
      <w:pPr>
        <w:pStyle w:val="41"/>
        <w:tabs>
          <w:tab w:val="left" w:pos="1470"/>
          <w:tab w:val="right" w:leader="dot" w:pos="8296"/>
        </w:tabs>
        <w:spacing w:line="360" w:lineRule="auto"/>
        <w:rPr>
          <w:rFonts w:ascii="宋体" w:hAnsi="宋体"/>
          <w:color w:val="auto"/>
          <w:sz w:val="24"/>
          <w:highlight w:val="none"/>
        </w:rPr>
      </w:pPr>
      <w:r>
        <w:rPr>
          <w:color w:val="auto"/>
          <w:highlight w:val="none"/>
        </w:rPr>
        <w:fldChar w:fldCharType="begin"/>
      </w:r>
      <w:r>
        <w:rPr>
          <w:color w:val="auto"/>
          <w:highlight w:val="none"/>
        </w:rPr>
        <w:instrText xml:space="preserve"> HYPERLINK \l "_Toc393040203" </w:instrText>
      </w:r>
      <w:r>
        <w:rPr>
          <w:color w:val="auto"/>
          <w:highlight w:val="none"/>
        </w:rPr>
        <w:fldChar w:fldCharType="separate"/>
      </w:r>
      <w:r>
        <w:rPr>
          <w:rStyle w:val="54"/>
          <w:rFonts w:hint="eastAsia" w:ascii="宋体" w:hAnsi="宋体"/>
          <w:color w:val="auto"/>
          <w:sz w:val="24"/>
          <w:highlight w:val="none"/>
        </w:rPr>
        <w:t>第六章 合同主要条款</w:t>
      </w:r>
      <w:r>
        <w:rPr>
          <w:rFonts w:ascii="宋体" w:hAnsi="宋体"/>
          <w:color w:val="auto"/>
          <w:sz w:val="24"/>
          <w:highlight w:val="none"/>
        </w:rPr>
        <w:tab/>
      </w:r>
      <w:r>
        <w:rPr>
          <w:rFonts w:ascii="宋体" w:hAnsi="宋体"/>
          <w:color w:val="auto"/>
          <w:sz w:val="24"/>
          <w:highlight w:val="none"/>
        </w:rPr>
        <w:fldChar w:fldCharType="end"/>
      </w:r>
      <w:r>
        <w:rPr>
          <w:rFonts w:hint="eastAsia" w:ascii="宋体" w:hAnsi="宋体"/>
          <w:color w:val="auto"/>
          <w:sz w:val="24"/>
          <w:highlight w:val="none"/>
        </w:rPr>
        <w:t>22</w:t>
      </w:r>
    </w:p>
    <w:p>
      <w:pPr>
        <w:spacing w:line="360" w:lineRule="auto"/>
        <w:jc w:val="left"/>
        <w:rPr>
          <w:rFonts w:ascii="宋体" w:hAnsi="宋体"/>
          <w:b/>
          <w:color w:val="auto"/>
          <w:sz w:val="30"/>
          <w:szCs w:val="30"/>
          <w:highlight w:val="none"/>
        </w:rPr>
      </w:pPr>
      <w:r>
        <w:rPr>
          <w:rFonts w:ascii="宋体" w:hAnsi="宋体"/>
          <w:b/>
          <w:color w:val="auto"/>
          <w:sz w:val="24"/>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pStyle w:val="4"/>
        <w:numPr>
          <w:ilvl w:val="0"/>
          <w:numId w:val="7"/>
        </w:numPr>
        <w:jc w:val="center"/>
        <w:rPr>
          <w:color w:val="auto"/>
          <w:highlight w:val="none"/>
        </w:rPr>
      </w:pPr>
      <w:bookmarkStart w:id="0" w:name="_Toc393040184"/>
      <w:r>
        <w:rPr>
          <w:rFonts w:hint="eastAsia"/>
          <w:color w:val="auto"/>
          <w:highlight w:val="none"/>
        </w:rPr>
        <w:t>谈判采购公告</w:t>
      </w:r>
      <w:bookmarkEnd w:id="0"/>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广西东博会场馆运营有限公司球馆</w:t>
      </w:r>
      <w:r>
        <w:rPr>
          <w:rFonts w:hint="eastAsia" w:ascii="宋体" w:hAnsi="宋体"/>
          <w:color w:val="auto"/>
          <w:szCs w:val="21"/>
          <w:highlight w:val="none"/>
          <w:lang w:eastAsia="zh-CN"/>
        </w:rPr>
        <w:t>设施</w:t>
      </w:r>
      <w:r>
        <w:rPr>
          <w:rFonts w:hint="eastAsia" w:ascii="宋体" w:hAnsi="宋体"/>
          <w:color w:val="auto"/>
          <w:szCs w:val="21"/>
          <w:highlight w:val="none"/>
        </w:rPr>
        <w:t>搬迁、拆装服务采购项目采用谈判方式进行采购，现将有关事项公告如下：</w:t>
      </w:r>
    </w:p>
    <w:p>
      <w:pPr>
        <w:spacing w:line="40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一、项目名称</w:t>
      </w:r>
      <w:r>
        <w:rPr>
          <w:rFonts w:hint="eastAsia" w:ascii="宋体" w:hAnsi="宋体"/>
          <w:color w:val="auto"/>
          <w:szCs w:val="21"/>
          <w:highlight w:val="none"/>
        </w:rPr>
        <w:t>：南宁国际会展中心球馆</w:t>
      </w:r>
      <w:r>
        <w:rPr>
          <w:rFonts w:hint="eastAsia" w:ascii="宋体" w:hAnsi="宋体"/>
          <w:color w:val="auto"/>
          <w:szCs w:val="21"/>
          <w:highlight w:val="none"/>
          <w:lang w:eastAsia="zh-CN"/>
        </w:rPr>
        <w:t>设施</w:t>
      </w:r>
      <w:r>
        <w:rPr>
          <w:rFonts w:hint="eastAsia" w:ascii="宋体" w:hAnsi="宋体"/>
          <w:color w:val="auto"/>
          <w:szCs w:val="21"/>
          <w:highlight w:val="none"/>
        </w:rPr>
        <w:t>搬迁、拆装服务采购</w:t>
      </w:r>
    </w:p>
    <w:p>
      <w:pPr>
        <w:spacing w:line="400" w:lineRule="exact"/>
        <w:ind w:firstLine="843" w:firstLineChars="400"/>
        <w:rPr>
          <w:rFonts w:ascii="宋体" w:hAnsi="宋体"/>
          <w:color w:val="auto"/>
          <w:szCs w:val="21"/>
          <w:highlight w:val="none"/>
          <w:u w:val="single"/>
        </w:rPr>
      </w:pPr>
      <w:r>
        <w:rPr>
          <w:rFonts w:hint="eastAsia" w:ascii="宋体" w:hAnsi="宋体"/>
          <w:b/>
          <w:color w:val="auto"/>
          <w:szCs w:val="21"/>
          <w:highlight w:val="none"/>
        </w:rPr>
        <w:t>项目编号</w:t>
      </w:r>
      <w:r>
        <w:rPr>
          <w:rFonts w:hint="eastAsia" w:ascii="宋体" w:hAnsi="宋体"/>
          <w:color w:val="auto"/>
          <w:szCs w:val="21"/>
          <w:highlight w:val="none"/>
        </w:rPr>
        <w:t>：</w:t>
      </w:r>
      <w:r>
        <w:rPr>
          <w:rFonts w:hint="default" w:ascii="Times New Roman" w:hAnsi="Times New Roman" w:eastAsia="微软雅黑" w:cs="Times New Roman"/>
          <w:i w:val="0"/>
          <w:caps w:val="0"/>
          <w:color w:val="111F2C"/>
          <w:spacing w:val="0"/>
          <w:sz w:val="21"/>
          <w:szCs w:val="21"/>
          <w:shd w:val="clear" w:color="auto" w:fill="FFFFFF"/>
        </w:rPr>
        <w:t>GIEG2020HZ</w:t>
      </w:r>
      <w:r>
        <w:rPr>
          <w:rFonts w:hint="eastAsia" w:eastAsia="微软雅黑" w:cs="Times New Roman"/>
          <w:i w:val="0"/>
          <w:caps w:val="0"/>
          <w:color w:val="111F2C"/>
          <w:spacing w:val="0"/>
          <w:sz w:val="21"/>
          <w:szCs w:val="21"/>
          <w:shd w:val="clear" w:color="auto" w:fill="FFFFFF"/>
          <w:lang w:eastAsia="zh-CN"/>
        </w:rPr>
        <w:t>－</w:t>
      </w:r>
      <w:r>
        <w:rPr>
          <w:rFonts w:hint="default" w:ascii="Times New Roman" w:hAnsi="Times New Roman" w:eastAsia="微软雅黑" w:cs="Times New Roman"/>
          <w:i w:val="0"/>
          <w:caps w:val="0"/>
          <w:color w:val="111F2C"/>
          <w:spacing w:val="0"/>
          <w:sz w:val="21"/>
          <w:szCs w:val="21"/>
          <w:shd w:val="clear" w:color="auto" w:fill="FFFFFF"/>
        </w:rPr>
        <w:t>0047</w:t>
      </w:r>
      <w:r>
        <w:rPr>
          <w:rFonts w:hint="eastAsia" w:ascii="宋体" w:hAnsi="宋体"/>
          <w:color w:val="auto"/>
          <w:sz w:val="21"/>
          <w:szCs w:val="21"/>
          <w:highlight w:val="none"/>
        </w:rPr>
        <w:t xml:space="preserve">  </w:t>
      </w:r>
      <w:r>
        <w:rPr>
          <w:rFonts w:hint="eastAsia" w:ascii="宋体" w:hAnsi="宋体"/>
          <w:color w:val="auto"/>
          <w:szCs w:val="21"/>
          <w:highlight w:val="none"/>
        </w:rPr>
        <w:t xml:space="preserve">          </w:t>
      </w:r>
    </w:p>
    <w:p>
      <w:pPr>
        <w:numPr>
          <w:ilvl w:val="0"/>
          <w:numId w:val="8"/>
        </w:numPr>
        <w:snapToGrid w:val="0"/>
        <w:spacing w:line="360" w:lineRule="exact"/>
        <w:ind w:firstLine="422" w:firstLineChars="200"/>
        <w:rPr>
          <w:rFonts w:ascii="宋体" w:hAnsi="宋体"/>
          <w:color w:val="auto"/>
          <w:szCs w:val="21"/>
          <w:highlight w:val="none"/>
        </w:rPr>
      </w:pPr>
      <w:r>
        <w:rPr>
          <w:rFonts w:hint="eastAsia" w:ascii="宋体" w:hAnsi="宋体" w:cs="Arial"/>
          <w:b/>
          <w:color w:val="auto"/>
          <w:szCs w:val="21"/>
          <w:highlight w:val="none"/>
        </w:rPr>
        <w:t>采购组织类型：</w:t>
      </w:r>
      <w:r>
        <w:rPr>
          <w:rFonts w:hint="eastAsia" w:ascii="宋体" w:hAnsi="宋体" w:cs="Arial"/>
          <w:color w:val="auto"/>
          <w:szCs w:val="21"/>
          <w:highlight w:val="none"/>
          <w:lang w:eastAsia="zh-CN"/>
        </w:rPr>
        <w:t>企业自行采购项目</w:t>
      </w:r>
    </w:p>
    <w:p>
      <w:pPr>
        <w:numPr>
          <w:ilvl w:val="0"/>
          <w:numId w:val="8"/>
        </w:numPr>
        <w:snapToGrid w:val="0"/>
        <w:spacing w:line="360" w:lineRule="exact"/>
        <w:ind w:firstLine="422" w:firstLineChars="200"/>
        <w:rPr>
          <w:rFonts w:ascii="宋体" w:hAnsi="宋体" w:cs="Arial"/>
          <w:color w:val="auto"/>
          <w:szCs w:val="21"/>
          <w:highlight w:val="none"/>
        </w:rPr>
      </w:pPr>
      <w:r>
        <w:rPr>
          <w:rFonts w:hint="eastAsia" w:ascii="宋体" w:hAnsi="宋体"/>
          <w:b/>
          <w:color w:val="auto"/>
          <w:szCs w:val="21"/>
          <w:highlight w:val="none"/>
        </w:rPr>
        <w:t>采购内容</w:t>
      </w:r>
      <w:r>
        <w:rPr>
          <w:rFonts w:hint="eastAsia" w:ascii="宋体" w:hAnsi="宋体"/>
          <w:color w:val="auto"/>
          <w:szCs w:val="21"/>
          <w:highlight w:val="none"/>
        </w:rPr>
        <w:t>：广西东博会场馆运营有限公司球馆</w:t>
      </w:r>
      <w:r>
        <w:rPr>
          <w:rFonts w:hint="eastAsia" w:ascii="宋体" w:hAnsi="宋体"/>
          <w:color w:val="auto"/>
          <w:szCs w:val="21"/>
          <w:highlight w:val="none"/>
          <w:lang w:eastAsia="zh-CN"/>
        </w:rPr>
        <w:t>设施</w:t>
      </w:r>
      <w:r>
        <w:rPr>
          <w:rFonts w:hint="eastAsia" w:ascii="宋体" w:hAnsi="宋体"/>
          <w:color w:val="auto"/>
          <w:szCs w:val="21"/>
          <w:highlight w:val="none"/>
        </w:rPr>
        <w:t>搬迁、拆装服务，项目预算（人民币）：</w:t>
      </w:r>
      <w:r>
        <w:rPr>
          <w:rFonts w:hint="eastAsia" w:ascii="宋体" w:hAnsi="宋体"/>
          <w:color w:val="auto"/>
          <w:szCs w:val="21"/>
          <w:highlight w:val="none"/>
          <w:lang w:val="en-US" w:eastAsia="zh-CN"/>
        </w:rPr>
        <w:t>7.5</w:t>
      </w:r>
      <w:r>
        <w:rPr>
          <w:rFonts w:hint="eastAsia" w:ascii="宋体" w:hAnsi="宋体"/>
          <w:color w:val="auto"/>
          <w:szCs w:val="21"/>
          <w:highlight w:val="none"/>
        </w:rPr>
        <w:t>万元整。</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四、供应商资格</w:t>
      </w:r>
      <w:r>
        <w:rPr>
          <w:rFonts w:hint="eastAsia" w:ascii="宋体" w:hAnsi="宋体"/>
          <w:color w:val="auto"/>
          <w:szCs w:val="21"/>
          <w:highlight w:val="none"/>
        </w:rPr>
        <w:t>：</w:t>
      </w:r>
    </w:p>
    <w:p>
      <w:pPr>
        <w:spacing w:line="400" w:lineRule="exact"/>
        <w:ind w:firstLine="525" w:firstLineChars="250"/>
        <w:rPr>
          <w:rFonts w:ascii="宋体" w:hAnsi="宋体" w:cs="Arial"/>
          <w:color w:val="auto"/>
          <w:szCs w:val="21"/>
          <w:highlight w:val="none"/>
        </w:rPr>
      </w:pPr>
      <w:r>
        <w:rPr>
          <w:rFonts w:hint="eastAsia" w:ascii="宋体" w:hAnsi="宋体" w:cs="Arial"/>
          <w:color w:val="auto"/>
          <w:szCs w:val="21"/>
          <w:highlight w:val="none"/>
        </w:rPr>
        <w:t>1.国内注册（指按国家有关规定要求注册的），经营范围包含本次招标采购服务，具备法人资格的供应商；</w:t>
      </w:r>
    </w:p>
    <w:p>
      <w:pPr>
        <w:spacing w:line="400" w:lineRule="exact"/>
        <w:ind w:firstLine="525" w:firstLineChars="250"/>
        <w:rPr>
          <w:rFonts w:ascii="宋体" w:hAnsi="宋体" w:cs="Arial"/>
          <w:color w:val="auto"/>
          <w:szCs w:val="21"/>
          <w:highlight w:val="none"/>
        </w:rPr>
      </w:pPr>
      <w:r>
        <w:rPr>
          <w:rFonts w:hint="default" w:ascii="宋体" w:hAnsi="宋体" w:cs="Arial"/>
          <w:color w:val="auto"/>
          <w:szCs w:val="21"/>
          <w:highlight w:val="none"/>
        </w:rPr>
        <w:t>2</w:t>
      </w:r>
      <w:r>
        <w:rPr>
          <w:rFonts w:hint="eastAsia" w:ascii="宋体" w:hAnsi="宋体" w:cs="Arial"/>
          <w:color w:val="auto"/>
          <w:szCs w:val="21"/>
          <w:highlight w:val="none"/>
        </w:rPr>
        <w:t>.本项目不接受联合体竞标。</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五、竞标保证金</w:t>
      </w:r>
      <w:r>
        <w:rPr>
          <w:rFonts w:hint="eastAsia" w:ascii="宋体" w:hAnsi="宋体"/>
          <w:color w:val="auto"/>
          <w:szCs w:val="21"/>
          <w:highlight w:val="none"/>
        </w:rPr>
        <w:t>：无</w:t>
      </w:r>
    </w:p>
    <w:p>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六、竞争性谈判文件获取的时间和地点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bCs/>
          <w:color w:val="auto"/>
          <w:szCs w:val="21"/>
          <w:highlight w:val="none"/>
        </w:rPr>
        <w:t>竞争性谈判</w:t>
      </w:r>
      <w:r>
        <w:rPr>
          <w:rFonts w:hint="eastAsia" w:ascii="宋体" w:hAnsi="宋体"/>
          <w:color w:val="auto"/>
          <w:szCs w:val="21"/>
          <w:highlight w:val="none"/>
        </w:rPr>
        <w:t>文件获取时间：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14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p>
    <w:p>
      <w:pPr>
        <w:spacing w:line="400" w:lineRule="exact"/>
        <w:ind w:firstLine="495"/>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bCs/>
          <w:color w:val="auto"/>
          <w:szCs w:val="21"/>
          <w:highlight w:val="none"/>
        </w:rPr>
        <w:t>竞争性谈判</w:t>
      </w:r>
      <w:r>
        <w:rPr>
          <w:rFonts w:hint="eastAsia" w:ascii="宋体" w:hAnsi="宋体"/>
          <w:color w:val="auto"/>
          <w:szCs w:val="21"/>
          <w:highlight w:val="none"/>
        </w:rPr>
        <w:t>文件获取地点：广西东博会场馆运营有限公司（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）或通过电子邮件发送。</w:t>
      </w:r>
    </w:p>
    <w:p>
      <w:pPr>
        <w:spacing w:line="400" w:lineRule="exact"/>
        <w:ind w:firstLine="422" w:firstLineChars="200"/>
        <w:rPr>
          <w:rFonts w:ascii="宋体" w:hAnsi="宋体"/>
          <w:color w:val="auto"/>
          <w:szCs w:val="21"/>
          <w:highlight w:val="none"/>
        </w:rPr>
      </w:pPr>
      <w:r>
        <w:rPr>
          <w:rFonts w:hint="eastAsia" w:ascii="宋体" w:hAnsi="宋体"/>
          <w:b/>
          <w:bCs/>
          <w:color w:val="auto"/>
          <w:szCs w:val="21"/>
          <w:highlight w:val="none"/>
        </w:rPr>
        <w:t>七、</w:t>
      </w:r>
      <w:r>
        <w:rPr>
          <w:rFonts w:hint="eastAsia" w:ascii="宋体" w:hAnsi="宋体"/>
          <w:b/>
          <w:color w:val="auto"/>
          <w:szCs w:val="21"/>
          <w:highlight w:val="none"/>
          <w:lang w:eastAsia="zh-CN"/>
        </w:rPr>
        <w:t>响应</w:t>
      </w:r>
      <w:r>
        <w:rPr>
          <w:rFonts w:hint="eastAsia" w:ascii="宋体" w:hAnsi="宋体"/>
          <w:b/>
          <w:color w:val="auto"/>
          <w:szCs w:val="21"/>
          <w:highlight w:val="none"/>
        </w:rPr>
        <w:t>文件递交时间和地点</w:t>
      </w:r>
      <w:r>
        <w:rPr>
          <w:rFonts w:hint="eastAsia" w:ascii="宋体" w:hAnsi="宋体"/>
          <w:color w:val="auto"/>
          <w:szCs w:val="21"/>
          <w:highlight w:val="none"/>
        </w:rPr>
        <w:t>：</w:t>
      </w:r>
    </w:p>
    <w:p>
      <w:pPr>
        <w:spacing w:line="400" w:lineRule="exact"/>
        <w:ind w:firstLine="495"/>
        <w:rPr>
          <w:rFonts w:hint="eastAsia" w:ascii="宋体" w:hAnsi="宋体" w:eastAsia="宋体"/>
          <w:color w:val="auto"/>
          <w:szCs w:val="21"/>
          <w:highlight w:val="none"/>
          <w:u w:val="single"/>
          <w:lang w:eastAsia="zh-CN"/>
        </w:rPr>
      </w:pPr>
      <w:r>
        <w:rPr>
          <w:rFonts w:hint="eastAsia" w:ascii="宋体" w:hAnsi="宋体"/>
          <w:color w:val="auto"/>
          <w:szCs w:val="21"/>
          <w:highlight w:val="none"/>
        </w:rPr>
        <w:t>1.</w:t>
      </w:r>
      <w:r>
        <w:rPr>
          <w:rFonts w:hint="eastAsia" w:ascii="宋体" w:hAnsi="宋体"/>
          <w:bCs/>
          <w:color w:val="auto"/>
          <w:szCs w:val="21"/>
          <w:highlight w:val="none"/>
          <w:lang w:eastAsia="zh-CN"/>
        </w:rPr>
        <w:t>响应</w:t>
      </w:r>
      <w:r>
        <w:rPr>
          <w:rFonts w:hint="eastAsia" w:ascii="宋体" w:hAnsi="宋体"/>
          <w:color w:val="auto"/>
          <w:szCs w:val="21"/>
          <w:highlight w:val="none"/>
        </w:rPr>
        <w:t>文件接收时间：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19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17</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p>
    <w:p>
      <w:pPr>
        <w:spacing w:line="400" w:lineRule="exact"/>
        <w:ind w:firstLine="495"/>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lang w:eastAsia="zh-CN"/>
        </w:rPr>
        <w:t>响应</w:t>
      </w:r>
      <w:r>
        <w:rPr>
          <w:rFonts w:hint="eastAsia" w:ascii="宋体" w:hAnsi="宋体"/>
          <w:color w:val="auto"/>
          <w:szCs w:val="21"/>
          <w:highlight w:val="none"/>
        </w:rPr>
        <w:t>文件递交地点：广西东博会场馆运营有限公司（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b/>
          <w:color w:val="auto"/>
          <w:szCs w:val="21"/>
          <w:highlight w:val="none"/>
        </w:rPr>
        <w:t>八、响应文件开启时间、谈判时间及地点</w:t>
      </w:r>
      <w:r>
        <w:rPr>
          <w:rFonts w:hint="eastAsia" w:ascii="宋体" w:hAnsi="宋体"/>
          <w:color w:val="auto"/>
          <w:szCs w:val="21"/>
          <w:highlight w:val="none"/>
        </w:rPr>
        <w:t>：</w:t>
      </w:r>
    </w:p>
    <w:p>
      <w:pPr>
        <w:spacing w:line="400" w:lineRule="exact"/>
        <w:ind w:firstLine="495"/>
        <w:rPr>
          <w:rFonts w:ascii="宋体" w:hAnsi="宋体"/>
          <w:color w:val="auto"/>
          <w:szCs w:val="21"/>
          <w:highlight w:val="none"/>
        </w:rPr>
      </w:pP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20 </w:t>
      </w:r>
      <w:r>
        <w:rPr>
          <w:rFonts w:hint="eastAsia" w:ascii="宋体" w:hAnsi="宋体"/>
          <w:color w:val="auto"/>
          <w:szCs w:val="21"/>
          <w:highlight w:val="none"/>
          <w:u w:val="single"/>
        </w:rPr>
        <w:t>日</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lang w:eastAsia="zh-CN"/>
        </w:rPr>
        <w:t>　</w:t>
      </w:r>
      <w:r>
        <w:rPr>
          <w:rFonts w:hint="eastAsia" w:ascii="宋体" w:hAnsi="宋体"/>
          <w:color w:val="auto"/>
          <w:szCs w:val="21"/>
          <w:highlight w:val="none"/>
          <w:u w:val="single"/>
        </w:rPr>
        <w:t>时</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分</w:t>
      </w:r>
      <w:r>
        <w:rPr>
          <w:rFonts w:hint="eastAsia" w:ascii="宋体" w:hAnsi="宋体"/>
          <w:color w:val="auto"/>
          <w:szCs w:val="21"/>
          <w:highlight w:val="none"/>
        </w:rPr>
        <w:t>后为开启响应文件及与供应商谈判时间，具体时间另行通知。地点：广西东博会场馆运营有限公司（</w:t>
      </w:r>
      <w:r>
        <w:rPr>
          <w:rFonts w:hint="eastAsia" w:ascii="宋体" w:hAnsi="宋体" w:cs="宋体"/>
          <w:color w:val="auto"/>
          <w:szCs w:val="21"/>
          <w:highlight w:val="none"/>
          <w:u w:val="single"/>
        </w:rPr>
        <w:t>南宁市民族大道延长线106号C区行政北楼221号</w:t>
      </w:r>
      <w:r>
        <w:rPr>
          <w:rFonts w:hint="eastAsia" w:ascii="宋体" w:hAnsi="宋体" w:cs="宋体"/>
          <w:color w:val="auto"/>
          <w:szCs w:val="21"/>
          <w:highlight w:val="none"/>
          <w:u w:val="single"/>
          <w:lang w:eastAsia="zh-CN"/>
        </w:rPr>
        <w:t>会议室</w:t>
      </w:r>
      <w:r>
        <w:rPr>
          <w:rFonts w:hint="eastAsia" w:ascii="宋体" w:hAnsi="宋体"/>
          <w:color w:val="auto"/>
          <w:szCs w:val="21"/>
          <w:highlight w:val="none"/>
        </w:rPr>
        <w:t>），参加竞标的法定代表人或委托代理人必须持证件（法定代表人凭资格证书和身份证或委托代理人凭法人授权委托书原件和身份证）依时到达指定地点等候当面谈判。</w:t>
      </w:r>
    </w:p>
    <w:p>
      <w:pPr>
        <w:snapToGrid w:val="0"/>
        <w:spacing w:line="360" w:lineRule="exact"/>
        <w:ind w:firstLine="420"/>
        <w:rPr>
          <w:rFonts w:ascii="宋体" w:hAnsi="宋体" w:cs="Arial"/>
          <w:b/>
          <w:color w:val="auto"/>
          <w:szCs w:val="21"/>
          <w:highlight w:val="none"/>
        </w:rPr>
      </w:pPr>
      <w:r>
        <w:rPr>
          <w:rFonts w:hint="eastAsia" w:ascii="宋体" w:hAnsi="宋体"/>
          <w:b/>
          <w:color w:val="auto"/>
          <w:szCs w:val="21"/>
          <w:highlight w:val="none"/>
        </w:rPr>
        <w:t>九、</w:t>
      </w:r>
      <w:r>
        <w:rPr>
          <w:rFonts w:hint="eastAsia" w:ascii="宋体" w:hAnsi="宋体" w:cs="Arial"/>
          <w:b/>
          <w:color w:val="auto"/>
          <w:szCs w:val="21"/>
          <w:highlight w:val="none"/>
        </w:rPr>
        <w:t>业务咨询：</w:t>
      </w:r>
    </w:p>
    <w:p>
      <w:pPr>
        <w:snapToGrid w:val="0"/>
        <w:spacing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1.广西东博会场馆运营有限公司</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联系人：</w:t>
      </w:r>
      <w:r>
        <w:rPr>
          <w:rFonts w:hint="eastAsia" w:ascii="宋体" w:hAnsi="宋体" w:cs="Arial"/>
          <w:color w:val="auto"/>
          <w:szCs w:val="21"/>
          <w:highlight w:val="none"/>
          <w:lang w:eastAsia="zh-CN"/>
        </w:rPr>
        <w:t>庞东牌</w:t>
      </w:r>
      <w:r>
        <w:rPr>
          <w:rFonts w:hint="eastAsia" w:ascii="宋体" w:hAnsi="宋体"/>
          <w:color w:val="auto"/>
          <w:highlight w:val="none"/>
          <w:shd w:val="clear" w:color="auto" w:fill="FFFFFF"/>
          <w:lang w:val="en-US" w:eastAsia="zh-CN"/>
        </w:rPr>
        <w:t xml:space="preserve"> </w:t>
      </w:r>
      <w:r>
        <w:rPr>
          <w:rFonts w:hint="eastAsia" w:ascii="宋体" w:hAnsi="宋体"/>
          <w:color w:val="auto"/>
          <w:highlight w:val="none"/>
          <w:shd w:val="clear" w:color="auto" w:fill="FFFFFF"/>
        </w:rPr>
        <w:t>联系电话：</w:t>
      </w:r>
      <w:r>
        <w:rPr>
          <w:rFonts w:hint="eastAsia" w:ascii="宋体" w:hAnsi="宋体"/>
          <w:color w:val="auto"/>
          <w:highlight w:val="none"/>
          <w:shd w:val="clear" w:color="auto" w:fill="FFFFFF"/>
          <w:lang w:val="en-US" w:eastAsia="zh-CN"/>
        </w:rPr>
        <w:t xml:space="preserve">0771-2092152 </w:t>
      </w:r>
      <w:r>
        <w:rPr>
          <w:rFonts w:hint="eastAsia" w:ascii="宋体" w:hAnsi="宋体" w:cs="Arial"/>
          <w:color w:val="auto"/>
          <w:szCs w:val="21"/>
          <w:highlight w:val="none"/>
        </w:rPr>
        <w:t>地址：</w:t>
      </w:r>
      <w:r>
        <w:rPr>
          <w:rFonts w:hint="eastAsia" w:ascii="宋体" w:hAnsi="宋体" w:cs="宋体"/>
          <w:color w:val="auto"/>
          <w:szCs w:val="21"/>
          <w:highlight w:val="none"/>
          <w:u w:val="single"/>
        </w:rPr>
        <w:t>南宁市民族大道延长线106号C区行政北楼219号办公室</w:t>
      </w:r>
      <w:r>
        <w:rPr>
          <w:rFonts w:hint="eastAsia" w:ascii="宋体" w:hAnsi="宋体" w:cs="Arial"/>
          <w:color w:val="auto"/>
          <w:szCs w:val="21"/>
          <w:highlight w:val="none"/>
        </w:rPr>
        <w:t>/邮编：530000</w:t>
      </w:r>
    </w:p>
    <w:p>
      <w:pPr>
        <w:numPr>
          <w:ilvl w:val="0"/>
          <w:numId w:val="9"/>
        </w:numPr>
        <w:snapToGrid w:val="0"/>
        <w:spacing w:line="600" w:lineRule="exact"/>
        <w:ind w:firstLine="422"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eastAsia="宋体" w:cs="宋体"/>
          <w:b/>
          <w:bCs/>
          <w:color w:val="auto"/>
          <w:sz w:val="21"/>
          <w:szCs w:val="21"/>
          <w:highlight w:val="none"/>
          <w:shd w:val="clear" w:color="auto" w:fill="FFFFFF"/>
          <w:lang w:eastAsia="zh-CN"/>
        </w:rPr>
        <w:t>监督与投诉：</w:t>
      </w:r>
    </w:p>
    <w:p>
      <w:pPr>
        <w:numPr>
          <w:ilvl w:val="0"/>
          <w:numId w:val="0"/>
        </w:numPr>
        <w:snapToGrid w:val="0"/>
        <w:spacing w:line="600" w:lineRule="exact"/>
        <w:ind w:firstLine="420" w:firstLineChars="200"/>
        <w:rPr>
          <w:rFonts w:hint="eastAsia" w:ascii="宋体" w:hAnsi="宋体" w:eastAsia="宋体" w:cs="宋体"/>
          <w:b/>
          <w:bCs/>
          <w:color w:val="auto"/>
          <w:sz w:val="21"/>
          <w:szCs w:val="21"/>
          <w:highlight w:val="none"/>
          <w:shd w:val="clear" w:color="auto" w:fill="FFFFFF"/>
          <w:lang w:eastAsia="zh-CN"/>
        </w:rPr>
      </w:pP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广西国际博览集团有限公司</w:t>
      </w:r>
      <w:r>
        <w:rPr>
          <w:rFonts w:hint="eastAsia" w:ascii="宋体" w:hAnsi="宋体" w:cs="Arial"/>
          <w:color w:val="auto"/>
          <w:szCs w:val="21"/>
          <w:highlight w:val="none"/>
          <w:lang w:eastAsia="zh-CN"/>
        </w:rPr>
        <w:t>经营管理部</w:t>
      </w:r>
    </w:p>
    <w:p>
      <w:pPr>
        <w:snapToGrid w:val="0"/>
        <w:spacing w:line="600" w:lineRule="exact"/>
        <w:ind w:firstLine="420" w:firstLineChars="20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rPr>
        <w:t xml:space="preserve">联系人：   </w:t>
      </w:r>
      <w:r>
        <w:rPr>
          <w:rFonts w:hint="eastAsia" w:ascii="宋体" w:hAnsi="宋体" w:eastAsia="宋体" w:cs="宋体"/>
          <w:color w:val="auto"/>
          <w:sz w:val="21"/>
          <w:szCs w:val="21"/>
          <w:highlight w:val="none"/>
          <w:lang w:eastAsia="zh-CN"/>
        </w:rPr>
        <w:t>顾明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 xml:space="preserve"> 联系电话：</w:t>
      </w:r>
      <w:r>
        <w:rPr>
          <w:rFonts w:hint="eastAsia" w:ascii="宋体" w:hAnsi="宋体" w:eastAsia="宋体" w:cs="宋体"/>
          <w:color w:val="auto"/>
          <w:sz w:val="21"/>
          <w:szCs w:val="21"/>
          <w:highlight w:val="none"/>
          <w:shd w:val="clear" w:color="auto" w:fill="FFFFFF"/>
          <w:lang w:val="en-US" w:eastAsia="zh-CN"/>
        </w:rPr>
        <w:t>0771-2212614</w:t>
      </w:r>
    </w:p>
    <w:p>
      <w:pPr>
        <w:snapToGrid w:val="0"/>
        <w:spacing w:line="600" w:lineRule="exact"/>
        <w:ind w:firstLine="420" w:firstLineChars="200"/>
        <w:rPr>
          <w:rFonts w:hint="eastAsia" w:ascii="宋体" w:hAnsi="宋体" w:cs="Arial"/>
          <w:color w:val="auto"/>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南宁市</w:t>
      </w:r>
      <w:r>
        <w:rPr>
          <w:rFonts w:hint="eastAsia" w:ascii="宋体" w:hAnsi="宋体" w:eastAsia="宋体" w:cs="宋体"/>
          <w:color w:val="auto"/>
          <w:sz w:val="21"/>
          <w:szCs w:val="21"/>
          <w:highlight w:val="none"/>
          <w:u w:val="single"/>
          <w:lang w:eastAsia="zh-CN"/>
        </w:rPr>
        <w:t>会展路</w:t>
      </w:r>
      <w:r>
        <w:rPr>
          <w:rFonts w:hint="eastAsia" w:ascii="宋体" w:hAnsi="宋体" w:eastAsia="宋体" w:cs="宋体"/>
          <w:color w:val="auto"/>
          <w:sz w:val="21"/>
          <w:szCs w:val="21"/>
          <w:highlight w:val="none"/>
          <w:u w:val="single"/>
          <w:lang w:val="en-US" w:eastAsia="zh-CN"/>
        </w:rPr>
        <w:t>18号会展大厦12楼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/邮编：530000</w:t>
      </w:r>
    </w:p>
    <w:p>
      <w:pPr>
        <w:snapToGrid w:val="0"/>
        <w:spacing w:line="360" w:lineRule="exact"/>
        <w:ind w:firstLine="422" w:firstLineChars="200"/>
        <w:rPr>
          <w:rFonts w:ascii="宋体" w:hAnsi="宋体" w:cs="Arial"/>
          <w:color w:val="auto"/>
          <w:szCs w:val="21"/>
          <w:highlight w:val="none"/>
          <w:u w:val="single"/>
        </w:rPr>
      </w:pPr>
      <w:r>
        <w:rPr>
          <w:rFonts w:hint="eastAsia" w:ascii="宋体" w:hAnsi="宋体"/>
          <w:b/>
          <w:color w:val="auto"/>
          <w:szCs w:val="21"/>
          <w:highlight w:val="none"/>
        </w:rPr>
        <w:t>十</w:t>
      </w:r>
      <w:r>
        <w:rPr>
          <w:rFonts w:hint="eastAsia" w:ascii="宋体" w:hAnsi="宋体"/>
          <w:b/>
          <w:color w:val="auto"/>
          <w:szCs w:val="21"/>
          <w:highlight w:val="none"/>
          <w:lang w:eastAsia="zh-CN"/>
        </w:rPr>
        <w:t>一</w:t>
      </w:r>
      <w:r>
        <w:rPr>
          <w:rFonts w:hint="eastAsia" w:ascii="宋体" w:hAnsi="宋体"/>
          <w:b/>
          <w:color w:val="auto"/>
          <w:szCs w:val="21"/>
          <w:highlight w:val="none"/>
        </w:rPr>
        <w:t>、网上公告媒体查询</w:t>
      </w:r>
      <w:r>
        <w:rPr>
          <w:rFonts w:hint="eastAsia" w:ascii="宋体" w:hAnsi="宋体"/>
          <w:color w:val="auto"/>
          <w:szCs w:val="21"/>
          <w:highlight w:val="none"/>
        </w:rPr>
        <w:t>：</w:t>
      </w:r>
    </w:p>
    <w:p>
      <w:pPr>
        <w:snapToGrid w:val="0"/>
        <w:spacing w:line="36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广西国际博览集团有限公司官方网站（http://www.gxexpogp.cn）</w:t>
      </w:r>
    </w:p>
    <w:p>
      <w:pPr>
        <w:snapToGrid w:val="0"/>
        <w:spacing w:line="360" w:lineRule="exact"/>
        <w:ind w:firstLine="420" w:firstLineChars="200"/>
        <w:rPr>
          <w:rFonts w:hint="eastAsia" w:ascii="宋体" w:hAnsi="宋体" w:eastAsia="宋体" w:cs="Arial"/>
          <w:color w:val="auto"/>
          <w:szCs w:val="21"/>
          <w:highlight w:val="none"/>
          <w:lang w:eastAsia="zh-CN"/>
        </w:rPr>
      </w:pPr>
      <w:r>
        <w:rPr>
          <w:rFonts w:hint="eastAsia" w:ascii="宋体" w:hAnsi="宋体" w:cs="Arial"/>
          <w:color w:val="auto"/>
          <w:szCs w:val="21"/>
          <w:highlight w:val="none"/>
          <w:lang w:eastAsia="zh-CN"/>
        </w:rPr>
        <w:t>广西东博会场馆运营有限公司（</w:t>
      </w:r>
      <w:r>
        <w:rPr>
          <w:rFonts w:hint="eastAsia" w:ascii="宋体" w:hAnsi="宋体" w:cs="Arial"/>
          <w:color w:val="auto"/>
          <w:szCs w:val="21"/>
          <w:highlight w:val="none"/>
          <w:lang w:val="en-US" w:eastAsia="zh-CN"/>
        </w:rPr>
        <w:t>http：//www.nicec.cn</w:t>
      </w:r>
      <w:r>
        <w:rPr>
          <w:rFonts w:hint="eastAsia" w:ascii="宋体" w:hAnsi="宋体" w:cs="Arial"/>
          <w:color w:val="auto"/>
          <w:szCs w:val="21"/>
          <w:highlight w:val="none"/>
          <w:lang w:eastAsia="zh-CN"/>
        </w:rPr>
        <w:t>）</w:t>
      </w:r>
    </w:p>
    <w:p>
      <w:pPr>
        <w:snapToGrid w:val="0"/>
        <w:spacing w:line="400" w:lineRule="exact"/>
        <w:rPr>
          <w:rFonts w:ascii="宋体" w:hAnsi="宋体"/>
          <w:color w:val="auto"/>
          <w:szCs w:val="21"/>
          <w:highlight w:val="none"/>
        </w:rPr>
      </w:pPr>
    </w:p>
    <w:p>
      <w:pPr>
        <w:snapToGrid w:val="0"/>
        <w:spacing w:line="400" w:lineRule="exact"/>
        <w:ind w:left="238"/>
        <w:jc w:val="right"/>
        <w:rPr>
          <w:rFonts w:ascii="宋体" w:hAnsi="宋体" w:cs="Arial"/>
          <w:color w:val="auto"/>
          <w:szCs w:val="21"/>
          <w:highlight w:val="none"/>
        </w:rPr>
      </w:pPr>
      <w:r>
        <w:rPr>
          <w:rFonts w:hint="eastAsia" w:ascii="宋体" w:hAnsi="宋体"/>
          <w:color w:val="auto"/>
          <w:szCs w:val="21"/>
          <w:highlight w:val="none"/>
        </w:rPr>
        <w:t xml:space="preserve">                                     广西东博会场馆运营有限公司</w:t>
      </w:r>
    </w:p>
    <w:p>
      <w:pPr>
        <w:spacing w:line="400" w:lineRule="exact"/>
        <w:jc w:val="center"/>
        <w:rPr>
          <w:rFonts w:ascii="宋体" w:hAnsi="宋体"/>
          <w:b/>
          <w:color w:val="auto"/>
          <w:sz w:val="32"/>
          <w:szCs w:val="32"/>
          <w:highlight w:val="none"/>
        </w:rPr>
      </w:pPr>
      <w:r>
        <w:rPr>
          <w:rFonts w:hint="eastAsia" w:ascii="宋体" w:hAnsi="宋体"/>
          <w:color w:val="auto"/>
          <w:szCs w:val="21"/>
          <w:highlight w:val="none"/>
          <w:u w:val="none"/>
          <w:lang w:val="en-US" w:eastAsia="zh-CN"/>
        </w:rPr>
        <w:t xml:space="preserve">                                                          2020年5月13日</w:t>
      </w:r>
      <w:r>
        <w:rPr>
          <w:rFonts w:ascii="宋体" w:hAnsi="宋体"/>
          <w:b/>
          <w:color w:val="auto"/>
          <w:sz w:val="32"/>
          <w:szCs w:val="32"/>
          <w:highlight w:val="none"/>
        </w:rPr>
        <w:br w:type="page"/>
      </w:r>
      <w:bookmarkStart w:id="9" w:name="_GoBack"/>
      <w:bookmarkEnd w:id="9"/>
    </w:p>
    <w:p>
      <w:pPr>
        <w:pStyle w:val="4"/>
        <w:jc w:val="center"/>
        <w:rPr>
          <w:color w:val="auto"/>
          <w:highlight w:val="none"/>
        </w:rPr>
      </w:pPr>
      <w:bookmarkStart w:id="1" w:name="_Toc393040185"/>
      <w:r>
        <w:rPr>
          <w:rFonts w:hint="eastAsia"/>
          <w:color w:val="auto"/>
          <w:highlight w:val="none"/>
        </w:rPr>
        <w:t>第二章供应商须知</w:t>
      </w:r>
      <w:bookmarkEnd w:id="1"/>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4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993"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6854" w:type="dxa"/>
          </w:tcPr>
          <w:p>
            <w:pPr>
              <w:spacing w:line="340" w:lineRule="exact"/>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340" w:lineRule="exact"/>
              <w:rPr>
                <w:rFonts w:ascii="宋体" w:hAnsi="宋体"/>
                <w:color w:val="auto"/>
                <w:szCs w:val="21"/>
                <w:highlight w:val="none"/>
                <w:u w:val="single"/>
              </w:rPr>
            </w:pPr>
            <w:r>
              <w:rPr>
                <w:rFonts w:hint="eastAsia" w:ascii="宋体" w:hAnsi="宋体"/>
                <w:color w:val="auto"/>
                <w:szCs w:val="21"/>
                <w:highlight w:val="none"/>
              </w:rPr>
              <w:t>项目名称：南宁国际会展中心球馆</w:t>
            </w:r>
            <w:r>
              <w:rPr>
                <w:rFonts w:hint="eastAsia" w:ascii="宋体" w:hAnsi="宋体"/>
                <w:color w:val="auto"/>
                <w:szCs w:val="21"/>
                <w:highlight w:val="none"/>
                <w:lang w:eastAsia="zh-CN"/>
              </w:rPr>
              <w:t>设施</w:t>
            </w:r>
            <w:r>
              <w:rPr>
                <w:rFonts w:hint="eastAsia" w:ascii="宋体" w:hAnsi="宋体"/>
                <w:color w:val="auto"/>
                <w:szCs w:val="21"/>
                <w:highlight w:val="none"/>
              </w:rPr>
              <w:t>搬迁、拆装服务采购</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项目编号：</w:t>
            </w:r>
          </w:p>
          <w:p>
            <w:pPr>
              <w:spacing w:line="340" w:lineRule="exact"/>
              <w:rPr>
                <w:rFonts w:ascii="宋体" w:hAnsi="宋体"/>
                <w:color w:val="auto"/>
                <w:szCs w:val="21"/>
                <w:highlight w:val="none"/>
                <w:u w:val="single"/>
              </w:rPr>
            </w:pPr>
            <w:r>
              <w:rPr>
                <w:rFonts w:hint="eastAsia" w:ascii="宋体" w:hAnsi="宋体"/>
                <w:color w:val="auto"/>
                <w:szCs w:val="21"/>
                <w:highlight w:val="none"/>
              </w:rPr>
              <w:t>项目预算：</w:t>
            </w:r>
            <w:r>
              <w:rPr>
                <w:rFonts w:hint="eastAsia" w:ascii="宋体" w:hAnsi="宋体"/>
                <w:color w:val="auto"/>
                <w:szCs w:val="21"/>
                <w:highlight w:val="none"/>
                <w:u w:val="single"/>
                <w:lang w:val="en-US" w:eastAsia="zh-CN"/>
              </w:rPr>
              <w:t>7.5</w:t>
            </w:r>
            <w:r>
              <w:rPr>
                <w:rFonts w:hint="eastAsia" w:ascii="宋体" w:hAnsi="宋体"/>
                <w:color w:val="auto"/>
                <w:szCs w:val="21"/>
                <w:highlight w:val="none"/>
                <w:u w:val="single"/>
              </w:rPr>
              <w:t>万元整</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2</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供应商的基本条件：</w:t>
            </w:r>
          </w:p>
          <w:p>
            <w:pPr>
              <w:spacing w:line="340" w:lineRule="exact"/>
              <w:rPr>
                <w:rFonts w:ascii="宋体" w:hAnsi="宋体"/>
                <w:color w:val="auto"/>
                <w:szCs w:val="21"/>
                <w:highlight w:val="none"/>
              </w:rPr>
            </w:pPr>
            <w:r>
              <w:rPr>
                <w:rFonts w:hint="eastAsia" w:ascii="宋体" w:hAnsi="宋体"/>
                <w:color w:val="auto"/>
                <w:szCs w:val="21"/>
                <w:highlight w:val="none"/>
              </w:rPr>
              <w:t>1.国内注册（指按国家有关规定要求注册的），经营范围包含本次招标采购服务，具备法人资格的供应商；</w:t>
            </w:r>
          </w:p>
          <w:p>
            <w:pPr>
              <w:spacing w:line="34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.本项目不接受联合体竞标。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3</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4.2</w:t>
            </w:r>
          </w:p>
        </w:tc>
        <w:tc>
          <w:tcPr>
            <w:tcW w:w="6854" w:type="dxa"/>
            <w:vAlign w:val="center"/>
          </w:tcPr>
          <w:p>
            <w:pPr>
              <w:spacing w:line="340" w:lineRule="exact"/>
              <w:rPr>
                <w:rFonts w:ascii="宋体" w:hAnsi="宋体"/>
                <w:color w:val="auto"/>
                <w:szCs w:val="21"/>
                <w:highlight w:val="none"/>
              </w:rPr>
            </w:pPr>
            <w:r>
              <w:rPr>
                <w:rFonts w:hint="eastAsia" w:ascii="宋体" w:hAnsi="宋体"/>
                <w:b/>
                <w:color w:val="auto"/>
                <w:szCs w:val="21"/>
                <w:highlight w:val="none"/>
              </w:rPr>
              <w:t>成交服务费：0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4</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9.1</w:t>
            </w:r>
          </w:p>
        </w:tc>
        <w:tc>
          <w:tcPr>
            <w:tcW w:w="6854" w:type="dxa"/>
            <w:vAlign w:val="center"/>
          </w:tcPr>
          <w:p>
            <w:pPr>
              <w:tabs>
                <w:tab w:val="left" w:pos="525"/>
              </w:tabs>
              <w:snapToGrid w:val="0"/>
              <w:spacing w:line="340" w:lineRule="exact"/>
              <w:jc w:val="left"/>
              <w:rPr>
                <w:rFonts w:ascii="宋体" w:hAnsi="宋体"/>
                <w:color w:val="auto"/>
                <w:szCs w:val="21"/>
                <w:highlight w:val="none"/>
              </w:rPr>
            </w:pPr>
            <w:r>
              <w:rPr>
                <w:rFonts w:hint="eastAsia" w:ascii="宋体" w:hAnsi="宋体"/>
                <w:color w:val="auto"/>
                <w:szCs w:val="21"/>
                <w:highlight w:val="none"/>
              </w:rPr>
              <w:t>竞标报价：供应商必须就所投项目的全部内容作完整唯一报价，漏项报价的或有选择的或有条件的报价，其竞标将视为无效。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5</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10.1</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竞争性谈判文件份数：正本一份、副本两份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6</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竞标有效期：自竞标截止之日起至采购合同签订之日止。</w:t>
            </w:r>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bookmarkStart w:id="2" w:name="_Toc254970681"/>
            <w:bookmarkStart w:id="3" w:name="_Toc254970540"/>
            <w:r>
              <w:rPr>
                <w:rFonts w:hint="eastAsia" w:ascii="宋体" w:hAnsi="宋体"/>
                <w:color w:val="auto"/>
                <w:sz w:val="21"/>
                <w:szCs w:val="21"/>
                <w:highlight w:val="none"/>
              </w:rPr>
              <w:t>1.未成交的响应文件竞标有效期内均应保持有效。</w:t>
            </w:r>
            <w:bookmarkEnd w:id="2"/>
            <w:bookmarkEnd w:id="3"/>
          </w:p>
          <w:p>
            <w:pPr>
              <w:pStyle w:val="14"/>
              <w:widowControl w:val="0"/>
              <w:tabs>
                <w:tab w:val="clear" w:pos="454"/>
              </w:tabs>
              <w:snapToGrid w:val="0"/>
              <w:spacing w:afterLines="0" w:line="340" w:lineRule="exact"/>
              <w:ind w:left="0" w:firstLine="0"/>
              <w:rPr>
                <w:rFonts w:ascii="宋体" w:hAnsi="宋体"/>
                <w:color w:val="auto"/>
                <w:sz w:val="21"/>
                <w:szCs w:val="21"/>
                <w:highlight w:val="none"/>
              </w:rPr>
            </w:pPr>
            <w:r>
              <w:rPr>
                <w:rFonts w:hint="eastAsia" w:ascii="宋体" w:hAnsi="宋体"/>
                <w:color w:val="auto"/>
                <w:sz w:val="21"/>
                <w:szCs w:val="21"/>
                <w:highlight w:val="none"/>
              </w:rPr>
              <w:t>2.成交供应商的响应文件自开标之日起至合同履行完毕止均应保持有效。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7</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6854" w:type="dxa"/>
            <w:vAlign w:val="center"/>
          </w:tcPr>
          <w:p>
            <w:pPr>
              <w:snapToGrid w:val="0"/>
              <w:spacing w:line="340" w:lineRule="exact"/>
              <w:rPr>
                <w:rFonts w:ascii="宋体" w:hAnsi="宋体"/>
                <w:color w:val="auto"/>
                <w:szCs w:val="21"/>
                <w:highlight w:val="none"/>
              </w:rPr>
            </w:pPr>
            <w:r>
              <w:rPr>
                <w:rFonts w:hint="eastAsia" w:ascii="宋体" w:hAnsi="宋体"/>
                <w:color w:val="auto"/>
                <w:szCs w:val="21"/>
                <w:highlight w:val="none"/>
              </w:rPr>
              <w:t>竞标保证金金额：0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8</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6854" w:type="dxa"/>
            <w:vAlign w:val="center"/>
          </w:tcPr>
          <w:p>
            <w:pPr>
              <w:spacing w:line="400" w:lineRule="exact"/>
              <w:rPr>
                <w:rFonts w:hint="eastAsia" w:ascii="宋体" w:hAnsi="宋体"/>
                <w:color w:val="auto"/>
                <w:szCs w:val="21"/>
                <w:highlight w:val="none"/>
                <w:u w:val="single"/>
              </w:rPr>
            </w:pPr>
            <w:r>
              <w:rPr>
                <w:rFonts w:hint="eastAsia" w:ascii="宋体" w:hAnsi="宋体"/>
                <w:color w:val="auto"/>
                <w:szCs w:val="21"/>
                <w:highlight w:val="none"/>
              </w:rPr>
              <w:t>竞争性谈判文件接收时间：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14</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分至2020年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18</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p>
          <w:p>
            <w:pPr>
              <w:spacing w:line="400" w:lineRule="exact"/>
              <w:rPr>
                <w:rFonts w:hint="eastAsia" w:ascii="宋体" w:hAnsi="宋体" w:eastAsia="宋体"/>
                <w:color w:val="auto"/>
                <w:szCs w:val="21"/>
                <w:highlight w:val="none"/>
                <w:u w:val="single"/>
                <w:lang w:eastAsia="zh-CN"/>
              </w:rPr>
            </w:pPr>
            <w:r>
              <w:rPr>
                <w:rFonts w:hint="eastAsia" w:ascii="宋体" w:hAnsi="宋体"/>
                <w:bCs/>
                <w:color w:val="auto"/>
                <w:szCs w:val="21"/>
                <w:highlight w:val="none"/>
                <w:lang w:eastAsia="zh-CN"/>
              </w:rPr>
              <w:t>响应</w:t>
            </w:r>
            <w:r>
              <w:rPr>
                <w:rFonts w:hint="eastAsia" w:ascii="宋体" w:hAnsi="宋体"/>
                <w:color w:val="auto"/>
                <w:szCs w:val="21"/>
                <w:highlight w:val="none"/>
              </w:rPr>
              <w:t>文件递交时间：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19 </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17</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u w:val="single"/>
                <w:lang w:eastAsia="zh-CN"/>
              </w:rPr>
              <w:t>前</w:t>
            </w:r>
          </w:p>
          <w:p>
            <w:pPr>
              <w:spacing w:line="340" w:lineRule="exact"/>
              <w:rPr>
                <w:rFonts w:ascii="宋体" w:hAnsi="宋体"/>
                <w:color w:val="auto"/>
                <w:szCs w:val="21"/>
                <w:highlight w:val="none"/>
              </w:rPr>
            </w:pPr>
            <w:r>
              <w:rPr>
                <w:rFonts w:hint="eastAsia" w:ascii="宋体" w:hAnsi="宋体"/>
                <w:bCs/>
                <w:color w:val="auto"/>
                <w:szCs w:val="21"/>
                <w:highlight w:val="none"/>
                <w:lang w:eastAsia="zh-CN"/>
              </w:rPr>
              <w:t>响应</w:t>
            </w:r>
            <w:r>
              <w:rPr>
                <w:rFonts w:hint="eastAsia" w:ascii="宋体" w:hAnsi="宋体"/>
                <w:color w:val="auto"/>
                <w:szCs w:val="21"/>
                <w:highlight w:val="none"/>
              </w:rPr>
              <w:t>文件递交地点：广西东博会场馆运营有限公司（</w:t>
            </w:r>
            <w:r>
              <w:rPr>
                <w:rFonts w:hint="eastAsia" w:ascii="宋体" w:hAnsi="宋体" w:cs="宋体"/>
                <w:color w:val="auto"/>
                <w:szCs w:val="21"/>
                <w:highlight w:val="none"/>
                <w:u w:val="single"/>
              </w:rPr>
              <w:t>南宁市民族大道延长线106号C区行政北楼219号办公室</w:t>
            </w:r>
            <w:r>
              <w:rPr>
                <w:rFonts w:hint="eastAsia" w:ascii="宋体" w:hAnsi="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9</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ascii="宋体" w:hAnsi="宋体"/>
                <w:color w:val="auto"/>
                <w:szCs w:val="21"/>
                <w:highlight w:val="none"/>
              </w:rPr>
            </w:pPr>
            <w:r>
              <w:rPr>
                <w:rFonts w:hint="eastAsia" w:ascii="宋体" w:hAnsi="宋体"/>
                <w:color w:val="auto"/>
                <w:szCs w:val="21"/>
                <w:highlight w:val="none"/>
              </w:rPr>
              <w:t>谈判时间：</w:t>
            </w:r>
            <w:r>
              <w:rPr>
                <w:rFonts w:hint="eastAsia" w:ascii="宋体" w:hAnsi="宋体"/>
                <w:color w:val="auto"/>
                <w:szCs w:val="21"/>
                <w:highlight w:val="none"/>
                <w:u w:val="single"/>
              </w:rPr>
              <w:t>2020年</w:t>
            </w:r>
            <w:r>
              <w:rPr>
                <w:rFonts w:hint="default" w:ascii="宋体" w:hAnsi="宋体"/>
                <w:color w:val="auto"/>
                <w:szCs w:val="21"/>
                <w:highlight w:val="none"/>
                <w:u w:val="single"/>
              </w:rPr>
              <w:t>5</w:t>
            </w:r>
            <w:r>
              <w:rPr>
                <w:rFonts w:hint="eastAsia" w:ascii="宋体" w:hAnsi="宋体"/>
                <w:color w:val="auto"/>
                <w:szCs w:val="21"/>
                <w:highlight w:val="none"/>
                <w:u w:val="single"/>
              </w:rPr>
              <w:t>月</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20</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日</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时</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分</w:t>
            </w:r>
          </w:p>
          <w:p>
            <w:pPr>
              <w:spacing w:line="340" w:lineRule="exact"/>
              <w:rPr>
                <w:rFonts w:ascii="宋体" w:hAnsi="宋体"/>
                <w:color w:val="auto"/>
                <w:szCs w:val="21"/>
                <w:highlight w:val="none"/>
              </w:rPr>
            </w:pPr>
            <w:r>
              <w:rPr>
                <w:rFonts w:hint="eastAsia" w:ascii="宋体" w:hAnsi="宋体"/>
                <w:color w:val="auto"/>
                <w:szCs w:val="21"/>
                <w:highlight w:val="none"/>
              </w:rPr>
              <w:t>谈判地点：</w:t>
            </w:r>
            <w:r>
              <w:rPr>
                <w:rFonts w:hint="eastAsia" w:ascii="宋体" w:hAnsi="宋体"/>
                <w:color w:val="auto"/>
                <w:szCs w:val="21"/>
                <w:highlight w:val="none"/>
                <w:u w:val="single"/>
              </w:rPr>
              <w:t>广西东博会场馆运营有限公司（南宁市</w:t>
            </w:r>
            <w:r>
              <w:rPr>
                <w:rFonts w:hint="eastAsia" w:ascii="宋体" w:hAnsi="宋体" w:cs="宋体"/>
                <w:color w:val="auto"/>
                <w:szCs w:val="21"/>
                <w:highlight w:val="none"/>
                <w:u w:val="single"/>
              </w:rPr>
              <w:t>民族大道延长线106号C区行政北楼221号</w:t>
            </w:r>
            <w:r>
              <w:rPr>
                <w:rFonts w:hint="eastAsia" w:ascii="宋体" w:hAnsi="宋体" w:cs="宋体"/>
                <w:color w:val="auto"/>
                <w:szCs w:val="21"/>
                <w:highlight w:val="none"/>
                <w:u w:val="single"/>
                <w:lang w:eastAsia="zh-CN"/>
              </w:rPr>
              <w:t>会议室</w:t>
            </w:r>
            <w:r>
              <w:rPr>
                <w:rFonts w:hint="eastAsia" w:ascii="宋体" w:hAnsi="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10</w:t>
            </w:r>
          </w:p>
        </w:tc>
        <w:tc>
          <w:tcPr>
            <w:tcW w:w="993"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15.1</w:t>
            </w:r>
          </w:p>
        </w:tc>
        <w:tc>
          <w:tcPr>
            <w:tcW w:w="6854" w:type="dxa"/>
            <w:vAlign w:val="center"/>
          </w:tcPr>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履约保证金金额：</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成交人（乙方）在签订本项目合同前，须向招标采购单位（甲方）缴纳中标</w:t>
            </w:r>
            <w:r>
              <w:rPr>
                <w:rFonts w:hint="eastAsia" w:ascii="宋体" w:hAnsi="宋体"/>
                <w:color w:val="auto"/>
                <w:szCs w:val="21"/>
                <w:highlight w:val="none"/>
                <w:u w:val="single"/>
              </w:rPr>
              <w:t xml:space="preserve">金额5% </w:t>
            </w:r>
            <w:r>
              <w:rPr>
                <w:rFonts w:hint="eastAsia" w:ascii="宋体" w:hAnsi="宋体"/>
                <w:color w:val="auto"/>
                <w:szCs w:val="21"/>
                <w:highlight w:val="none"/>
              </w:rPr>
              <w:t>的履约保证金，以保证服务期间正常运行，如乙方违反相关法律法规，不履行所订立的合同，甲方有权取消乙方中标资格，服务协议自动终止。履约保证金不予返还，所造成的损失超过履约保证金数额的，还应对超出部分予以赔偿。服务期满后，如乙方无任何违约违法行为的，甲方应在10个工作日内退还履约保证金（不计息）.</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履约保证金交到采购人账户：</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开户名：广西东博会场馆运营有限公司</w:t>
            </w:r>
          </w:p>
          <w:p>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开户行：中国建设银行股份有限公司南宁金湖广场支行</w:t>
            </w:r>
          </w:p>
          <w:p>
            <w:pPr>
              <w:autoSpaceDE w:val="0"/>
              <w:autoSpaceDN w:val="0"/>
              <w:snapToGrid w:val="0"/>
              <w:spacing w:line="340" w:lineRule="exact"/>
              <w:textAlignment w:val="bottom"/>
              <w:rPr>
                <w:rFonts w:hint="eastAsia" w:ascii="宋体" w:hAnsi="宋体"/>
                <w:color w:val="auto"/>
                <w:szCs w:val="21"/>
                <w:highlight w:val="none"/>
              </w:rPr>
            </w:pPr>
            <w:r>
              <w:rPr>
                <w:rFonts w:hint="eastAsia" w:ascii="宋体" w:hAnsi="宋体"/>
                <w:color w:val="auto"/>
                <w:szCs w:val="21"/>
                <w:highlight w:val="none"/>
              </w:rPr>
              <w:t>账  号：45050160426600000896</w:t>
            </w:r>
          </w:p>
          <w:p>
            <w:pPr>
              <w:autoSpaceDE w:val="0"/>
              <w:autoSpaceDN w:val="0"/>
              <w:snapToGrid w:val="0"/>
              <w:spacing w:line="340" w:lineRule="exact"/>
              <w:textAlignment w:val="bottom"/>
              <w:rPr>
                <w:rFonts w:hint="eastAsia"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11</w:t>
            </w:r>
          </w:p>
        </w:tc>
        <w:tc>
          <w:tcPr>
            <w:tcW w:w="993" w:type="dxa"/>
            <w:vAlign w:val="center"/>
          </w:tcPr>
          <w:p>
            <w:pPr>
              <w:spacing w:line="340" w:lineRule="exact"/>
              <w:jc w:val="center"/>
              <w:rPr>
                <w:rFonts w:ascii="宋体" w:hAnsi="宋体"/>
                <w:color w:val="auto"/>
                <w:szCs w:val="21"/>
                <w:highlight w:val="none"/>
              </w:rPr>
            </w:pPr>
          </w:p>
        </w:tc>
        <w:tc>
          <w:tcPr>
            <w:tcW w:w="6854" w:type="dxa"/>
            <w:vAlign w:val="center"/>
          </w:tcPr>
          <w:p>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特别要求：</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1.本谈判采购文件中描述供应商的“公章”是指根据我国对公章的管理规定，用供应商法定主体行为名称制作的印章，除本谈判采购文件有特殊规定外，供应商的财务章、部门章、分公司章、工会章、合同章、投标专用章、业务专用章等其它形式印章均不能代替公章。</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2.本谈判采购文件中描述供应商的“签字”是指供应商的法定代表人或被授权人亲自在谈判采购文件规定签署处亲笔写上个人的名字的行为，私章、签字章、印鉴、影印等其它形式均不能代替亲笔签字。</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w:t>
      </w:r>
    </w:p>
    <w:p>
      <w:pPr>
        <w:spacing w:line="360" w:lineRule="exact"/>
        <w:rPr>
          <w:rFonts w:ascii="宋体" w:hAnsi="宋体"/>
          <w:color w:val="auto"/>
          <w:szCs w:val="21"/>
          <w:highlight w:val="none"/>
        </w:rPr>
      </w:pP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一、总　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适用范围</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1.1 本文件仅适用于本文件中所叙述的货物、服务类采购项目。</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定义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u w:val="single"/>
        </w:rPr>
        <w:t>广西东博会场馆运营有限公司</w:t>
      </w:r>
    </w:p>
    <w:p>
      <w:pPr>
        <w:spacing w:line="3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2.2“采购代理机构”：无</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2.3“供应商”是指响应本文件要求，参加谈判的法人或者其他组织。如果该供应商在本次谈判中成交，即成为“成交供应商”。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2.5“服务”是指除货物和工程以外的其他采购对象。</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2.6“响应文件”是指：供应商根据本文件要求，编制包含报价、技术和服务等所有内容的响应文件。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2.7★本项目不接受联合体投标，投标人以联合体形式参加投标的，投标无效。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供应商的基本条件：</w:t>
      </w:r>
      <w:r>
        <w:rPr>
          <w:rFonts w:hint="eastAsia" w:ascii="宋体" w:hAnsi="宋体"/>
          <w:b/>
          <w:color w:val="auto"/>
          <w:szCs w:val="21"/>
          <w:highlight w:val="none"/>
        </w:rPr>
        <w:t>见“供应商须知前附表”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 联合体投标</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3.1.1本项目明确不接受联合体形式投标的，本谈判采购文件所有相关联合体要求及格式文件均不适用。供应商以联合体形式参加投标的，竞标无效。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3.1.2本项目接受联合体形式投标的，联合体投标要求如下：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供应商为联合体形式的，必须提交联合体各方资格文件、联合体协议（格式见附件），否则将视为非实质响应而被拒绝。同时还应遵守以下规定，否则竞标无效：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（1）联合体各方必须签订联合体协议书，明确联合体牵头人和各方权利、义务及分工、合同工作量比例；</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（2）除本谈判采购文件另有规定，联合体各方中至少有一方应当符合本谈判采购文件规定的投标人特定资格条件；联合体中有同类资质的投标人应按照资质等级较低的投标人确定资质等级；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（3）联合体各方不得再单独或与其他供应商组成新的联合体参加同一项目的采购活动；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（4）联合体的业绩和信誉按联合体主体方（或牵头方）计算。</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谈判费用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供应商应自行承担所有与编写和提交响应文件有关的费用，不论谈判结果如何，采购人在任何情况下无义务和责任承担此类费用。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4.2本项目代理服务费具体见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二、响应文件的编制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响应文件编制基本要求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5.1供应商对响应文件的编制应按要求装订和封装。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供应商提交的响应文件以及供应商与采购人就有关谈判的所有来往函电均应使用中文。供应商提交的支持文件和印刷的文献可以使用别的语言，但其相应内容必须附有中文翻译文本，在解释响应文件时以翻译文本为主。</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5.3供应商应认真阅读、并充分理解本文件的全部内容（包括所有的补充、修改内容），承诺并履行本文件中各项条款规定及要求。</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5.4响应文件必须按本文件的全部内容，包括所有的补充通知及附件进行编制。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5.5如因供应商只填写和提供了本文件要求的部分内容和附件，而给评审造成困难，其可能导致的结果和责任由供应商自行承担。</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5.6响应文件的组成。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响应文件应分为价格文件和商务技术文件两个部分组成。</w:t>
      </w:r>
      <w:r>
        <w:rPr>
          <w:rFonts w:hint="eastAsia" w:ascii="宋体" w:hAnsi="宋体"/>
          <w:b/>
          <w:color w:val="auto"/>
          <w:szCs w:val="21"/>
          <w:highlight w:val="none"/>
        </w:rPr>
        <w:t>（下列文件均须加盖竞标单位公章；应该有的必须提供，如未提供，评审小组有权拒绝其响应文件）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5.6.1价格文件</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（1）谈判书（格式见附件一）；</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（2）谈判报价表；（格式见附件二）</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5.6.2 商务技术文件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）有效的新版“营业执照”副本或《事业单位法人证书》复印件</w:t>
      </w:r>
      <w:r>
        <w:rPr>
          <w:rFonts w:ascii="宋体" w:hAnsi="宋体"/>
          <w:color w:val="auto"/>
          <w:szCs w:val="21"/>
          <w:highlight w:val="none"/>
        </w:rPr>
        <w:t>(</w:t>
      </w:r>
      <w:r>
        <w:rPr>
          <w:rFonts w:hint="eastAsia" w:ascii="宋体" w:hAnsi="宋体"/>
          <w:color w:val="auto"/>
          <w:szCs w:val="21"/>
          <w:highlight w:val="none"/>
        </w:rPr>
        <w:t>经营范围包含本次采购服务）；</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）法定代表人身份证明原件及法定代表人有效身份证正反面复印件（格式见附件六）；</w:t>
      </w:r>
      <w:r>
        <w:rPr>
          <w:rFonts w:hint="eastAsia" w:ascii="宋体" w:hAnsi="宋体"/>
          <w:b/>
          <w:color w:val="auto"/>
          <w:szCs w:val="21"/>
          <w:highlight w:val="none"/>
        </w:rPr>
        <w:t>（必须提供）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）法定代表人授权委托书原件及被授权人有效身份证正反面复印件（格式见附件六）；</w:t>
      </w:r>
      <w:r>
        <w:rPr>
          <w:rFonts w:hint="eastAsia" w:ascii="宋体" w:hAnsi="宋体"/>
          <w:b/>
          <w:color w:val="auto"/>
          <w:szCs w:val="21"/>
          <w:highlight w:val="none"/>
        </w:rPr>
        <w:t>[委托代理时必须提供]</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）联合体竞标协议书（正本用原件，副本可用复印件）（格式见附件六）；</w:t>
      </w:r>
      <w:r>
        <w:rPr>
          <w:rFonts w:hint="eastAsia" w:ascii="宋体" w:hAnsi="宋体"/>
          <w:b/>
          <w:color w:val="auto"/>
          <w:szCs w:val="21"/>
          <w:highlight w:val="none"/>
        </w:rPr>
        <w:t>[联合体投标时必须提供（若本项目不接受联合体投标的此项不适用）]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）参加采购活动前三年内在经营活动中没有重大违法记录的书面声明（格式见附件七）；</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）服务响应偏离情况说明表（格式见附件三）、商务条款偏离表（格式见附件四）；</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）投入设备响应表（格式见附件五）</w:t>
      </w:r>
      <w:r>
        <w:rPr>
          <w:rFonts w:hint="default" w:ascii="宋体" w:hAnsi="宋体"/>
          <w:b/>
          <w:bCs/>
          <w:color w:val="auto"/>
          <w:szCs w:val="21"/>
          <w:highlight w:val="none"/>
        </w:rPr>
        <w:t>（</w:t>
      </w:r>
      <w:r>
        <w:rPr>
          <w:rFonts w:hint="eastAsia" w:ascii="宋体" w:hAnsi="宋体"/>
          <w:b/>
          <w:bCs/>
          <w:color w:val="auto"/>
          <w:szCs w:val="21"/>
          <w:highlight w:val="none"/>
          <w:lang w:eastAsia="zh-CN"/>
        </w:rPr>
        <w:t>必须</w:t>
      </w:r>
      <w:r>
        <w:rPr>
          <w:rFonts w:hint="default" w:ascii="宋体" w:hAnsi="宋体"/>
          <w:b/>
          <w:bCs/>
          <w:color w:val="auto"/>
          <w:szCs w:val="21"/>
          <w:highlight w:val="none"/>
        </w:rPr>
        <w:t>提供）</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）服务承诺（请结合第三章“项目需求”自行编写）；</w:t>
      </w:r>
      <w:r>
        <w:rPr>
          <w:rFonts w:hint="eastAsia" w:ascii="宋体" w:hAnsi="宋体"/>
          <w:b/>
          <w:color w:val="auto"/>
          <w:szCs w:val="21"/>
          <w:highlight w:val="none"/>
        </w:rPr>
        <w:t>（必须提供）</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）项目实施人员一览表（格式自拟）</w:t>
      </w:r>
      <w:r>
        <w:rPr>
          <w:rFonts w:hint="default" w:ascii="宋体" w:hAnsi="宋体"/>
          <w:b/>
          <w:bCs/>
          <w:color w:val="auto"/>
          <w:szCs w:val="21"/>
          <w:highlight w:val="none"/>
        </w:rPr>
        <w:t>（必须提供）</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）优惠条件：供应商承诺给予采购人的各种优惠条件，包括服务、备品备件、专用耗材等方面的优惠(格式自拟)</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）质量</w:t>
      </w:r>
      <w:r>
        <w:rPr>
          <w:rFonts w:hint="default" w:ascii="宋体" w:hAnsi="宋体"/>
          <w:color w:val="auto"/>
          <w:szCs w:val="21"/>
          <w:highlight w:val="none"/>
        </w:rPr>
        <w:t>及安全</w:t>
      </w:r>
      <w:r>
        <w:rPr>
          <w:rFonts w:hint="eastAsia" w:ascii="宋体" w:hAnsi="宋体"/>
          <w:color w:val="auto"/>
          <w:szCs w:val="21"/>
          <w:highlight w:val="none"/>
        </w:rPr>
        <w:t>保证措施</w:t>
      </w:r>
      <w:r>
        <w:rPr>
          <w:rFonts w:hint="default" w:ascii="宋体" w:hAnsi="宋体"/>
          <w:b/>
          <w:bCs/>
          <w:color w:val="auto"/>
          <w:szCs w:val="21"/>
          <w:highlight w:val="none"/>
        </w:rPr>
        <w:t>（必须提供）</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）国家有强制性要求的应按国家规定执行，并提供相关证明材料；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）供应商认为需要提供的有关资料。</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计量单位</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6.1除技术要求中另有规定外，本文件所要求使用的计量单位均应采用国家法定计量单位。</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7.响应文件有效期</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7.1响应文件有效期按须知前附表规定的期限，有效期不足的响应文件按无效处理。</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7.2未成交的响应文件有效期内均应保持有效。</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7.3成交供应商的响应文件自响应文件递交截止之日起至合同履行完毕止均应保持有效。</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三、谈判报价要求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.1供应商必须就所投项目的全部内容作完整唯一报价，漏项报价的或有选择的或有条件的报价，其竞标将视为无效。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.2对于本文件中未列明，而供应商认为必需的费用也需列入总报价。在合同实施时，采购人将不予支付成交供应商没有列入的项目费用，并认为此项目的费用已包括在总报价中。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.3成交供应商负责本项目所需货物的制造、运输、售后服务等全部工作。</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四、响应文件的份数、封装和递交</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谈判响应文件的份数和封装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1供应商应将响应文件中“价格文件”和“商务技术文件”单独封装，即：“价格文件”正本一份，副本两份；“商务技术文件”正本一份，副本两份。信封上标明“价格文件”，“商务技术文件”，然后再将所有信封封装在一个外层信封中。</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.2响应文件的信封上应写明：</w:t>
      </w:r>
    </w:p>
    <w:p>
      <w:pPr>
        <w:spacing w:line="360" w:lineRule="exact"/>
        <w:ind w:left="420"/>
        <w:rPr>
          <w:rFonts w:ascii="宋体" w:hAnsi="宋体"/>
          <w:color w:val="auto"/>
          <w:szCs w:val="21"/>
          <w:highlight w:val="none"/>
        </w:rPr>
      </w:pPr>
      <w:r>
        <w:rPr>
          <w:rFonts w:hint="eastAsia" w:ascii="宋体" w:hAnsi="宋体"/>
          <w:color w:val="auto"/>
          <w:szCs w:val="21"/>
          <w:highlight w:val="none"/>
        </w:rPr>
        <w:t>（1）项目编号；</w:t>
      </w:r>
    </w:p>
    <w:p>
      <w:pPr>
        <w:spacing w:line="360" w:lineRule="exact"/>
        <w:ind w:left="420"/>
        <w:rPr>
          <w:rFonts w:ascii="宋体" w:hAnsi="宋体"/>
          <w:color w:val="auto"/>
          <w:szCs w:val="21"/>
          <w:highlight w:val="none"/>
        </w:rPr>
      </w:pPr>
      <w:r>
        <w:rPr>
          <w:rFonts w:hint="eastAsia" w:ascii="宋体" w:hAnsi="宋体"/>
          <w:color w:val="auto"/>
          <w:szCs w:val="21"/>
          <w:highlight w:val="none"/>
        </w:rPr>
        <w:t>（2）项目名称；</w:t>
      </w:r>
    </w:p>
    <w:p>
      <w:pPr>
        <w:spacing w:line="360" w:lineRule="exact"/>
        <w:ind w:left="420"/>
        <w:rPr>
          <w:rFonts w:ascii="宋体" w:hAnsi="宋体"/>
          <w:color w:val="auto"/>
          <w:szCs w:val="21"/>
          <w:highlight w:val="none"/>
        </w:rPr>
      </w:pPr>
      <w:r>
        <w:rPr>
          <w:rFonts w:hint="eastAsia" w:ascii="宋体" w:hAnsi="宋体"/>
          <w:color w:val="auto"/>
          <w:szCs w:val="21"/>
          <w:highlight w:val="none"/>
        </w:rPr>
        <w:t>（3）供应商名称。</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 响应文件的递交</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所有响应文件应于谈判采购文件中规定的时间前递交到广西东博会场馆运营有限公司。</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.迟交的响应文件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广西东博会场馆运营有限公司拒绝或原封退回在其规定的递交响应文件截止时间之后收到的任何响应文件。</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五、响应文件评审及谈判的步骤</w:t>
      </w:r>
    </w:p>
    <w:p>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.1谈判小组由采购人代表和</w:t>
      </w:r>
      <w:r>
        <w:rPr>
          <w:rFonts w:hint="eastAsia" w:ascii="宋体" w:hAnsi="宋体" w:cs="宋体"/>
          <w:color w:val="auto"/>
          <w:kern w:val="0"/>
          <w:szCs w:val="21"/>
          <w:highlight w:val="none"/>
          <w:lang w:eastAsia="zh-CN"/>
        </w:rPr>
        <w:t>相关评委</w:t>
      </w:r>
      <w:r>
        <w:rPr>
          <w:rFonts w:hint="eastAsia" w:ascii="宋体" w:hAnsi="宋体" w:cs="宋体"/>
          <w:color w:val="auto"/>
          <w:kern w:val="0"/>
          <w:szCs w:val="21"/>
          <w:highlight w:val="none"/>
        </w:rPr>
        <w:t>共3人以上单数组成，其中</w:t>
      </w:r>
      <w:r>
        <w:rPr>
          <w:rFonts w:hint="eastAsia" w:ascii="宋体" w:hAnsi="宋体" w:cs="宋体"/>
          <w:color w:val="auto"/>
          <w:kern w:val="0"/>
          <w:sz w:val="20"/>
          <w:szCs w:val="20"/>
          <w:highlight w:val="none"/>
          <w:lang w:eastAsia="zh-CN"/>
        </w:rPr>
        <w:t>相关评委</w:t>
      </w:r>
      <w:r>
        <w:rPr>
          <w:rFonts w:hint="eastAsia" w:ascii="宋体" w:hAnsi="宋体" w:cs="宋体"/>
          <w:color w:val="auto"/>
          <w:kern w:val="0"/>
          <w:szCs w:val="21"/>
          <w:highlight w:val="none"/>
        </w:rPr>
        <w:t>人数不得少于谈判小组成员总数的2/3。</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.2</w:t>
      </w:r>
      <w:r>
        <w:rPr>
          <w:rFonts w:ascii="宋体" w:hAnsi="宋体"/>
          <w:color w:val="auto"/>
          <w:szCs w:val="21"/>
          <w:highlight w:val="none"/>
        </w:rPr>
        <w:t>谈判小组</w:t>
      </w:r>
      <w:r>
        <w:rPr>
          <w:rFonts w:hint="eastAsia" w:ascii="宋体" w:hAnsi="宋体"/>
          <w:color w:val="auto"/>
          <w:szCs w:val="21"/>
          <w:highlight w:val="none"/>
        </w:rPr>
        <w:t>确认谈判采购文件。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.3谈判小组对竞标资格条件及响应文件的有效性、完整性和响应程度进行审查。</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.3.1澄清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.4谈判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谈判小组按已确定的谈判顺序集中与单一供应商分别进行谈判，并给予所有参加谈判的供应商平等的谈判机会。谈判的内容包括技术性条件、商务性条件以及谈判小组认为需要谈判的内容。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对谈判采购文件作出的实质性变动是谈判采购文件的有效组成部分，谈判小组应当及时以书面形式同时通知所有参加谈判的供应商。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供应商应当按照谈判采购文件的变动情况和谈判小组的要求重新提交响应文件，并由其法定代表人或授权代表签字或者加盖公章。由授权代表签字的，应当附法定代表人授权书。</w:t>
      </w:r>
    </w:p>
    <w:p>
      <w:pPr>
        <w:spacing w:line="360" w:lineRule="exact"/>
        <w:ind w:firstLine="404" w:firstLineChars="200"/>
        <w:rPr>
          <w:rFonts w:ascii="宋体" w:hAnsi="宋体"/>
          <w:color w:val="auto"/>
          <w:spacing w:val="-4"/>
          <w:szCs w:val="21"/>
          <w:highlight w:val="none"/>
        </w:rPr>
      </w:pPr>
      <w:r>
        <w:rPr>
          <w:rFonts w:hint="eastAsia" w:ascii="宋体" w:hAnsi="宋体"/>
          <w:color w:val="auto"/>
          <w:spacing w:val="-4"/>
          <w:szCs w:val="21"/>
          <w:highlight w:val="none"/>
        </w:rPr>
        <w:t>谈判中，谈判的任何一方不得透露与谈判有关的其他供应商的技术资料、价格和其他信息。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我公司根据需要对谈判过程和重要谈判内容进行记录，谈判双方在记录上签字确认。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.5最后报价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5.1谈判采购文件能够详细列明采购标的的技术、服务要求的，谈判结束后，谈判小组应当要求所有继续参加谈判的供应商在规定时间内密封提交最后报价，原则上参加采购的供应商不得少于3家，经采购人确认，提交最后报价的供应商可以为2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5.2谈判采购文件不能详细列明采购标的的技术、服务要求，需经谈判由供应商提供最终设计方案或解决方案的，谈判结束后，谈判小组应当按照少数服从多数的原则投票推荐至少2家以上供应商的设计方案或者解决方案，并要求其在规定时间内密封提交最后报价。</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.5.3最后报价是供应商响应文件的有效组成部分。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.5.4已经提交响应文件的供应商，在提交最后报价之前，可以根据谈判情况退出谈判。采购人将退还退出谈判的供应商的保证金。</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.6本采购项目是以采购人采购预算价为最高限价，超出采购预算价的最终竞标报价，谈判小组将不予以评审。</w:t>
      </w:r>
    </w:p>
    <w:p>
      <w:pPr>
        <w:widowControl/>
        <w:tabs>
          <w:tab w:val="left" w:pos="540"/>
        </w:tabs>
        <w:spacing w:line="360" w:lineRule="exact"/>
        <w:ind w:firstLine="420" w:firstLineChars="200"/>
        <w:jc w:val="left"/>
        <w:rPr>
          <w:rFonts w:hAnsi="宋体"/>
          <w:b/>
          <w:bCs/>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.7</w:t>
      </w:r>
      <w:r>
        <w:rPr>
          <w:rFonts w:hint="eastAsia" w:hAnsi="宋体"/>
          <w:b/>
          <w:bCs/>
          <w:color w:val="auto"/>
          <w:highlight w:val="none"/>
        </w:rPr>
        <w:t>在评标过程中出现法律法规和谈判采购文件均没有明确规定的情形时，由谈判小组现场协商解决，协商不一致的，由全体谈判小组投票表决，以得票率二分之一以上专家的意见为准。</w:t>
      </w:r>
    </w:p>
    <w:p>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bCs/>
          <w:color w:val="auto"/>
          <w:highlight w:val="none"/>
        </w:rPr>
        <w:t>1</w:t>
      </w:r>
      <w:r>
        <w:rPr>
          <w:rFonts w:hint="eastAsia" w:ascii="宋体" w:hAnsi="宋体"/>
          <w:bCs/>
          <w:color w:val="auto"/>
          <w:highlight w:val="none"/>
          <w:lang w:val="en-US" w:eastAsia="zh-CN"/>
        </w:rPr>
        <w:t>2</w:t>
      </w:r>
      <w:r>
        <w:rPr>
          <w:rFonts w:hint="eastAsia" w:ascii="宋体" w:hAnsi="宋体"/>
          <w:bCs/>
          <w:color w:val="auto"/>
          <w:highlight w:val="none"/>
        </w:rPr>
        <w:t>.8</w:t>
      </w:r>
      <w:r>
        <w:rPr>
          <w:rFonts w:hint="eastAsia" w:ascii="宋体" w:hAnsi="宋体"/>
          <w:color w:val="auto"/>
          <w:szCs w:val="21"/>
          <w:highlight w:val="none"/>
        </w:rPr>
        <w:t>特别说明：</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出现下列情形之一的，评审时，取其中通过资格审查后的报价最低一家为有效供应商；当报价相同时，评标价相同时，依次按技术指标高优先、质量保证期长优先、处理问题响应时间短优先的顺序排列,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（2）供应商竞标所使用的资格、信誉、荣誉、业绩与企业认证必须为本法人所拥有。</w:t>
      </w:r>
    </w:p>
    <w:p>
      <w:pPr>
        <w:widowControl/>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（3）供应商应仔细阅读谈判采购文件的所有内容，按照谈判采购文件的要求提交响应文件，并对所提供的全部资料的真实性承担法律责任。</w:t>
      </w:r>
    </w:p>
    <w:p>
      <w:pPr>
        <w:widowControl/>
        <w:spacing w:line="360" w:lineRule="exact"/>
        <w:ind w:firstLine="420" w:firstLineChars="200"/>
        <w:jc w:val="left"/>
        <w:rPr>
          <w:rFonts w:hAnsi="宋体"/>
          <w:color w:val="auto"/>
          <w:highlight w:val="none"/>
        </w:rPr>
      </w:pPr>
      <w:r>
        <w:rPr>
          <w:rFonts w:hint="eastAsia" w:ascii="宋体" w:hAnsi="宋体"/>
          <w:color w:val="auto"/>
          <w:szCs w:val="21"/>
          <w:highlight w:val="none"/>
        </w:rPr>
        <w:t>（4）供应商在竞标活动中提供任何虚假材料，其竞标无效，并报有关部门查处；中标后发现的，成交供应商须依照《中华人民共和国消费者权益保护法》规定赔偿采购人，且民事赔偿并不免除违法供应商的行政与刑事责任。</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六、确定成交供应商办法及结果公告</w:t>
      </w:r>
    </w:p>
    <w:p>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w:t>
      </w:r>
      <w:r>
        <w:rPr>
          <w:rFonts w:ascii="宋体" w:hAnsi="宋体" w:cs="宋体"/>
          <w:color w:val="auto"/>
          <w:kern w:val="0"/>
          <w:szCs w:val="21"/>
          <w:highlight w:val="none"/>
        </w:rPr>
        <w:t>采购人应当</w:t>
      </w:r>
      <w:r>
        <w:rPr>
          <w:rFonts w:hint="eastAsia" w:ascii="宋体" w:hAnsi="宋体" w:cs="宋体"/>
          <w:color w:val="auto"/>
          <w:kern w:val="0"/>
          <w:szCs w:val="21"/>
          <w:highlight w:val="none"/>
        </w:rPr>
        <w:t>评标</w:t>
      </w:r>
      <w:r>
        <w:rPr>
          <w:rFonts w:ascii="宋体" w:hAnsi="宋体" w:cs="宋体"/>
          <w:color w:val="auto"/>
          <w:kern w:val="0"/>
          <w:szCs w:val="21"/>
          <w:highlight w:val="none"/>
        </w:rPr>
        <w:t>后5个工作日内确定成交供应商</w:t>
      </w:r>
      <w:r>
        <w:rPr>
          <w:rFonts w:hint="eastAsia" w:ascii="宋体" w:hAnsi="宋体" w:cs="宋体"/>
          <w:color w:val="auto"/>
          <w:kern w:val="0"/>
          <w:szCs w:val="21"/>
          <w:highlight w:val="none"/>
        </w:rPr>
        <w:t>。</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.2采购人</w:t>
      </w:r>
      <w:r>
        <w:rPr>
          <w:rFonts w:ascii="宋体" w:hAnsi="宋体"/>
          <w:color w:val="auto"/>
          <w:szCs w:val="21"/>
          <w:highlight w:val="none"/>
        </w:rPr>
        <w:t>应当在成交供应商确定后2个工作日内，在</w:t>
      </w:r>
      <w:r>
        <w:rPr>
          <w:rFonts w:hint="eastAsia" w:ascii="宋体" w:hAnsi="宋体"/>
          <w:color w:val="auto"/>
          <w:szCs w:val="21"/>
          <w:highlight w:val="none"/>
        </w:rPr>
        <w:t>广西国际博览集团官网</w:t>
      </w:r>
      <w:r>
        <w:rPr>
          <w:rFonts w:hint="eastAsia" w:ascii="宋体" w:hAnsi="宋体"/>
          <w:color w:val="auto"/>
          <w:szCs w:val="21"/>
          <w:highlight w:val="none"/>
          <w:lang w:eastAsia="zh-CN"/>
        </w:rPr>
        <w:t>、广西东博会场馆运营有时公司官网</w:t>
      </w:r>
      <w:r>
        <w:rPr>
          <w:rFonts w:ascii="宋体" w:hAnsi="宋体"/>
          <w:color w:val="auto"/>
          <w:szCs w:val="21"/>
          <w:highlight w:val="none"/>
        </w:rPr>
        <w:t>上公告成交结果，同时向成交供应商发出成交通知书</w:t>
      </w:r>
      <w:r>
        <w:rPr>
          <w:rFonts w:hint="eastAsia" w:ascii="宋体" w:hAnsi="宋体"/>
          <w:color w:val="auto"/>
          <w:szCs w:val="21"/>
          <w:highlight w:val="none"/>
        </w:rPr>
        <w:t>。</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七、履约保证金</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.1 是否收取履约保证金具体见</w:t>
      </w:r>
      <w:r>
        <w:rPr>
          <w:rFonts w:hint="eastAsia" w:ascii="宋体" w:hAnsi="宋体"/>
          <w:b/>
          <w:color w:val="auto"/>
          <w:szCs w:val="21"/>
          <w:highlight w:val="none"/>
        </w:rPr>
        <w:t>“供应商须知前附表”</w:t>
      </w:r>
      <w:r>
        <w:rPr>
          <w:rFonts w:hint="eastAsia" w:ascii="宋体" w:hAnsi="宋体"/>
          <w:color w:val="auto"/>
          <w:szCs w:val="21"/>
          <w:highlight w:val="none"/>
        </w:rPr>
        <w:t>。</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成交人在收到采购人的《成交通知书》后，签订合同前，应按照</w:t>
      </w:r>
      <w:r>
        <w:rPr>
          <w:rFonts w:hint="eastAsia" w:ascii="宋体" w:hAnsi="宋体"/>
          <w:b/>
          <w:color w:val="auto"/>
          <w:szCs w:val="21"/>
          <w:highlight w:val="none"/>
        </w:rPr>
        <w:t>供应商须知前附表</w:t>
      </w:r>
      <w:r>
        <w:rPr>
          <w:rFonts w:hint="eastAsia" w:ascii="宋体" w:hAnsi="宋体"/>
          <w:color w:val="auto"/>
          <w:szCs w:val="21"/>
          <w:highlight w:val="none"/>
        </w:rPr>
        <w:t>的规定提交履约保证金。成交人没有按照规定提交履约保证金的，视为放弃中标，其竞标保证金不予退还。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 签订合同后，如成交人不按双方签订的合同规定履约，则没收其全部履约保证金，履约保证金不足以赔偿损失的，按实际损失赔偿。</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4 履约保证金在成交供应商按合同约定履约完毕后，如乙方无任何违约违法行为的，由供应商按规定提出申请，甲方在10个工作日内无息退还履约保证金。</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.5 在履约保证金退还日期前，若成交人的开户名称、开户银行、帐号有变动的，请以书面形式通知原履约保证金收取单位，否则由此产生的后果由成交人自负。</w:t>
      </w:r>
    </w:p>
    <w:p>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八、签订合同</w:t>
      </w:r>
    </w:p>
    <w:p>
      <w:pPr>
        <w:spacing w:line="360" w:lineRule="exact"/>
        <w:ind w:left="420" w:left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.1成交供应商在收到成交通知书后，按规定与采购人签订采购合同。</w:t>
      </w:r>
    </w:p>
    <w:p>
      <w:pPr>
        <w:spacing w:line="360" w:lineRule="exact"/>
        <w:ind w:firstLine="420" w:firstLineChars="200"/>
        <w:rPr>
          <w:rFonts w:ascii="宋体" w:hAnsi="宋体"/>
          <w:b/>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w:t>
      </w:r>
      <w:r>
        <w:rPr>
          <w:rFonts w:ascii="宋体" w:hAnsi="宋体"/>
          <w:color w:val="auto"/>
          <w:szCs w:val="21"/>
          <w:highlight w:val="none"/>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pPr>
        <w:rPr>
          <w:color w:val="auto"/>
          <w:highlight w:val="none"/>
        </w:rPr>
      </w:pPr>
      <w:bookmarkStart w:id="4" w:name="_Toc393040186"/>
    </w:p>
    <w:p>
      <w:pPr>
        <w:pStyle w:val="4"/>
        <w:jc w:val="center"/>
        <w:rPr>
          <w:color w:val="auto"/>
          <w:highlight w:val="none"/>
        </w:rPr>
      </w:pPr>
      <w:r>
        <w:rPr>
          <w:rFonts w:hint="eastAsia"/>
          <w:color w:val="auto"/>
          <w:highlight w:val="none"/>
        </w:rPr>
        <w:t>第三章项目需求</w:t>
      </w:r>
      <w:bookmarkEnd w:id="4"/>
    </w:p>
    <w:p>
      <w:pPr>
        <w:spacing w:line="320" w:lineRule="exact"/>
        <w:jc w:val="left"/>
        <w:rPr>
          <w:rFonts w:ascii="宋体" w:hAnsi="宋体"/>
          <w:b/>
          <w:color w:val="auto"/>
          <w:szCs w:val="21"/>
          <w:highlight w:val="none"/>
        </w:rPr>
      </w:pPr>
      <w:r>
        <w:rPr>
          <w:rFonts w:hint="eastAsia" w:ascii="宋体" w:hAnsi="宋体"/>
          <w:b/>
          <w:color w:val="auto"/>
          <w:szCs w:val="21"/>
          <w:highlight w:val="none"/>
        </w:rPr>
        <w:t>说明：</w:t>
      </w:r>
    </w:p>
    <w:p>
      <w:pPr>
        <w:spacing w:line="320" w:lineRule="exact"/>
        <w:ind w:firstLine="424" w:firstLineChars="202"/>
        <w:jc w:val="left"/>
        <w:rPr>
          <w:rFonts w:ascii="宋体" w:hAnsi="宋体"/>
          <w:color w:val="auto"/>
          <w:szCs w:val="21"/>
          <w:highlight w:val="none"/>
        </w:rPr>
      </w:pPr>
      <w:r>
        <w:rPr>
          <w:rFonts w:hint="eastAsia" w:ascii="宋体" w:hAnsi="宋体"/>
          <w:color w:val="auto"/>
          <w:szCs w:val="21"/>
          <w:highlight w:val="none"/>
        </w:rPr>
        <w:t>1.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spacing w:line="320" w:lineRule="exact"/>
        <w:ind w:firstLine="426" w:firstLineChars="202"/>
        <w:jc w:val="left"/>
        <w:rPr>
          <w:rFonts w:ascii="宋体" w:hAnsi="宋体"/>
          <w:b/>
          <w:color w:val="auto"/>
          <w:szCs w:val="21"/>
          <w:highlight w:val="none"/>
        </w:rPr>
      </w:pPr>
      <w:r>
        <w:rPr>
          <w:rFonts w:hint="eastAsia" w:ascii="宋体" w:hAnsi="宋体"/>
          <w:b/>
          <w:color w:val="auto"/>
          <w:szCs w:val="21"/>
          <w:highlight w:val="none"/>
        </w:rPr>
        <w:t>2.下列服务需求说明书所列内容，打★实质性响应内容，供应商必须响应，否则竞标无效。</w:t>
      </w:r>
    </w:p>
    <w:p>
      <w:pPr>
        <w:widowControl/>
        <w:jc w:val="left"/>
        <w:rPr>
          <w:color w:val="auto"/>
          <w:highlight w:val="none"/>
        </w:rPr>
      </w:pPr>
    </w:p>
    <w:p>
      <w:pPr>
        <w:widowControl/>
        <w:jc w:val="left"/>
        <w:rPr>
          <w:color w:val="auto"/>
          <w:highlight w:val="none"/>
        </w:rPr>
      </w:pPr>
    </w:p>
    <w:tbl>
      <w:tblPr>
        <w:tblStyle w:val="4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993"/>
        <w:gridCol w:w="717"/>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99" w:type="dxa"/>
            <w:noWrap w:val="0"/>
            <w:vAlign w:val="center"/>
          </w:tcPr>
          <w:p>
            <w:pPr>
              <w:jc w:val="center"/>
              <w:rPr>
                <w:rFonts w:ascii="Times New Roman" w:hAnsi="Times New Roman"/>
                <w:szCs w:val="21"/>
              </w:rPr>
            </w:pPr>
            <w:r>
              <w:rPr>
                <w:rFonts w:ascii="Times New Roman" w:hAnsi="宋体"/>
                <w:szCs w:val="21"/>
              </w:rPr>
              <w:t>项号</w:t>
            </w:r>
          </w:p>
        </w:tc>
        <w:tc>
          <w:tcPr>
            <w:tcW w:w="993" w:type="dxa"/>
            <w:noWrap w:val="0"/>
            <w:vAlign w:val="center"/>
          </w:tcPr>
          <w:p>
            <w:pPr>
              <w:jc w:val="center"/>
              <w:rPr>
                <w:rFonts w:ascii="Times New Roman" w:hAnsi="Times New Roman"/>
                <w:szCs w:val="21"/>
              </w:rPr>
            </w:pPr>
            <w:r>
              <w:rPr>
                <w:rFonts w:ascii="Times New Roman" w:hAnsi="宋体"/>
                <w:szCs w:val="21"/>
              </w:rPr>
              <w:t>服务</w:t>
            </w:r>
          </w:p>
          <w:p>
            <w:pPr>
              <w:jc w:val="center"/>
              <w:rPr>
                <w:rFonts w:ascii="Times New Roman" w:hAnsi="Times New Roman"/>
                <w:szCs w:val="21"/>
              </w:rPr>
            </w:pPr>
            <w:r>
              <w:rPr>
                <w:rFonts w:ascii="Times New Roman" w:hAnsi="宋体"/>
                <w:szCs w:val="21"/>
              </w:rPr>
              <w:t>名称</w:t>
            </w:r>
          </w:p>
        </w:tc>
        <w:tc>
          <w:tcPr>
            <w:tcW w:w="717" w:type="dxa"/>
            <w:noWrap w:val="0"/>
            <w:vAlign w:val="center"/>
          </w:tcPr>
          <w:p>
            <w:pPr>
              <w:jc w:val="center"/>
              <w:rPr>
                <w:rFonts w:ascii="Times New Roman" w:hAnsi="Times New Roman"/>
                <w:szCs w:val="21"/>
              </w:rPr>
            </w:pPr>
            <w:r>
              <w:rPr>
                <w:rFonts w:ascii="Times New Roman" w:hAnsi="宋体"/>
                <w:szCs w:val="21"/>
              </w:rPr>
              <w:t>数量</w:t>
            </w:r>
          </w:p>
        </w:tc>
        <w:tc>
          <w:tcPr>
            <w:tcW w:w="6494" w:type="dxa"/>
            <w:noWrap w:val="0"/>
            <w:vAlign w:val="center"/>
          </w:tcPr>
          <w:p>
            <w:pPr>
              <w:jc w:val="center"/>
              <w:rPr>
                <w:rFonts w:ascii="Times New Roman" w:hAnsi="Times New Roman"/>
                <w:szCs w:val="21"/>
              </w:rPr>
            </w:pPr>
            <w:r>
              <w:rPr>
                <w:rFonts w:ascii="Times New Roman" w:hAnsi="宋体"/>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993" w:type="dxa"/>
            <w:noWrap w:val="0"/>
            <w:vAlign w:val="center"/>
          </w:tcPr>
          <w:p>
            <w:pPr>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球馆内物品搬迁安装</w:t>
            </w:r>
          </w:p>
        </w:tc>
        <w:tc>
          <w:tcPr>
            <w:tcW w:w="717" w:type="dxa"/>
            <w:noWrap w:val="0"/>
            <w:vAlign w:val="center"/>
          </w:tcPr>
          <w:p>
            <w:pPr>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项</w:t>
            </w:r>
          </w:p>
        </w:tc>
        <w:tc>
          <w:tcPr>
            <w:tcW w:w="6494" w:type="dxa"/>
            <w:noWrap w:val="0"/>
            <w:vAlign w:val="center"/>
          </w:tcPr>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一、搬迁及安装地点：南宁国际会展中心</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号展厅内气排球馆、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号展厅内羽毛球馆。</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二、工作要求：</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）搬迁安装完成及验收时间：采购人提前</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天通知成交人做好拆装准备工作，成交人应在双方约定的时间段到达采购人指定现场进行作业，</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号球馆每一个馆安排物品拆除时间一天，安装时间</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天。成交人搬迁及拆装完成并将物品恢复原样后双方现场验收并签字确认，球馆搬迁安装、验收的具体时间由采购人视各展会安排的时间确定。</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）按采购人要求安排搬迁</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号展厅气排球馆、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号展厅羽毛球馆内全部塑胶地板、网柱、隔离网、球网、场地遮光窗帘布、前台办公座椅、物品等球馆设施搬至采购人指定仓库存放，展会结束将以上设施全部搬运回各球馆按采购人的要求安装。</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）按展会需求拆除服务台和试衣间搬运至采购人指定仓库存放，使用围板搭建服务台和试衣间，展会结束搬运回球馆重新搭建，恢复原样。</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ascii="Times New Roman" w:hAnsi="宋体"/>
                <w:color w:val="000000" w:themeColor="text1"/>
                <w:szCs w:val="21"/>
                <w14:textFill>
                  <w14:solidFill>
                    <w14:schemeClr w14:val="tx1"/>
                  </w14:solidFill>
                </w14:textFill>
              </w:rPr>
              <w:t>）按照采购人通知要求完成球馆物品拆除和安装工作内容并经双方验收合格后，视为完成一次搬迁安装工作。</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）拆装窗帘作业人员需持高空作业证上岗（签订合同前提交证书复印件及劳动合同核验）。</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6</w:t>
            </w:r>
            <w:r>
              <w:rPr>
                <w:rFonts w:ascii="Times New Roman" w:hAnsi="宋体"/>
                <w:color w:val="000000" w:themeColor="text1"/>
                <w:szCs w:val="21"/>
                <w14:textFill>
                  <w14:solidFill>
                    <w14:schemeClr w14:val="tx1"/>
                  </w14:solidFill>
                </w14:textFill>
              </w:rPr>
              <w:t>）高空作安全要求：拆装窗帘作业人员</w:t>
            </w:r>
            <w:r>
              <w:rPr>
                <w:rFonts w:hint="eastAsia" w:ascii="Times New Roman" w:hAnsi="宋体"/>
                <w:color w:val="000000" w:themeColor="text1"/>
                <w:szCs w:val="21"/>
                <w:lang w:eastAsia="zh-CN"/>
                <w14:textFill>
                  <w14:solidFill>
                    <w14:schemeClr w14:val="tx1"/>
                  </w14:solidFill>
                </w14:textFill>
              </w:rPr>
              <w:t>必须</w:t>
            </w:r>
            <w:r>
              <w:rPr>
                <w:rFonts w:ascii="Times New Roman" w:hAnsi="宋体"/>
                <w:color w:val="000000" w:themeColor="text1"/>
                <w:szCs w:val="21"/>
                <w14:textFill>
                  <w14:solidFill>
                    <w14:schemeClr w14:val="tx1"/>
                  </w14:solidFill>
                </w14:textFill>
              </w:rPr>
              <w:t>严格遵守登高作业安全施工规定，系好安全带，戴好安全帽，衣着要灵活，禁止穿硬底和带钉易滑的鞋，做好安全防护措施。</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三、质量要求：</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）拆除或安装窗帘、地胶需轻拿轻放，不能损坏原物，不能出现裂隙、刮烂、撕破。</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）地胶安装铺放平整、平滑，无凹凸、拉扯及歪斜。</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）窗帘安装平整，无拉扯、重叠或漏光，整体全面均匀的遮挡玻璃幕墙。</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ascii="Times New Roman" w:hAnsi="宋体"/>
                <w:color w:val="000000" w:themeColor="text1"/>
                <w:szCs w:val="21"/>
                <w14:textFill>
                  <w14:solidFill>
                    <w14:schemeClr w14:val="tx1"/>
                  </w14:solidFill>
                </w14:textFill>
              </w:rPr>
              <w:t>）服务台、试衣间的围板要求干净整洁，搭建成一直线，安装接口要紧密牢固。</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）网柱和球网安装要求：网柱安装必须稳固且与地面垂直，球网按标准高度安装，球网两端应与网柱系紧成一水平直线且保持球网紧拉状态。</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★四、服务内容：</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以下服务次数以完成一个球馆的物品拆运、安装工作按</w:t>
            </w:r>
            <w:r>
              <w:rPr>
                <w:rFonts w:ascii="Times New Roman" w:hAnsi="Times New Roman"/>
                <w:color w:val="000000" w:themeColor="text1"/>
                <w:szCs w:val="21"/>
                <w14:textFill>
                  <w14:solidFill>
                    <w14:schemeClr w14:val="tx1"/>
                  </w14:solidFill>
                </w14:textFill>
              </w:rPr>
              <w:t>1/3</w:t>
            </w:r>
            <w:r>
              <w:rPr>
                <w:rFonts w:ascii="Times New Roman" w:hAnsi="宋体"/>
                <w:color w:val="000000" w:themeColor="text1"/>
                <w:szCs w:val="21"/>
                <w14:textFill>
                  <w14:solidFill>
                    <w14:schemeClr w14:val="tx1"/>
                  </w14:solidFill>
                </w14:textFill>
              </w:rPr>
              <w:t>次计算，合计完成</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个馆则计为</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次。</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）塑胶地板拆除与安装：拆除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号两个羽毛球馆共</w:t>
            </w:r>
            <w:r>
              <w:rPr>
                <w:rFonts w:ascii="Times New Roman" w:hAnsi="Times New Roman"/>
                <w:color w:val="000000" w:themeColor="text1"/>
                <w:szCs w:val="21"/>
                <w14:textFill>
                  <w14:solidFill>
                    <w14:schemeClr w14:val="tx1"/>
                  </w14:solidFill>
                </w14:textFill>
              </w:rPr>
              <w:t>48</w:t>
            </w:r>
            <w:r>
              <w:rPr>
                <w:rFonts w:ascii="Times New Roman" w:hAnsi="宋体"/>
                <w:color w:val="000000" w:themeColor="text1"/>
                <w:szCs w:val="21"/>
                <w14:textFill>
                  <w14:solidFill>
                    <w14:schemeClr w14:val="tx1"/>
                  </w14:solidFill>
                </w14:textFill>
              </w:rPr>
              <w:t>片塑胶地板搬运至采购人指定仓库存放，展会结束重新搬运回</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个球馆安装，服务次数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）网柱、球网撤离与安装：拆除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号两个羽毛球共</w:t>
            </w:r>
            <w:r>
              <w:rPr>
                <w:rFonts w:ascii="Times New Roman" w:hAnsi="Times New Roman"/>
                <w:color w:val="000000" w:themeColor="text1"/>
                <w:szCs w:val="21"/>
                <w14:textFill>
                  <w14:solidFill>
                    <w14:schemeClr w14:val="tx1"/>
                  </w14:solidFill>
                </w14:textFill>
              </w:rPr>
              <w:t>48</w:t>
            </w:r>
            <w:r>
              <w:rPr>
                <w:rFonts w:ascii="Times New Roman" w:hAnsi="宋体"/>
                <w:color w:val="000000" w:themeColor="text1"/>
                <w:szCs w:val="21"/>
                <w14:textFill>
                  <w14:solidFill>
                    <w14:schemeClr w14:val="tx1"/>
                  </w14:solidFill>
                </w14:textFill>
              </w:rPr>
              <w:t>套网柱、球网搬运至采购人指定仓库存放，展会结束重新搬运回</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个球馆安装，服务次数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）遮光窗帘布拆除与重新安装：拆除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号羽毛球馆全部遮光窗帘共</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套搬运至采购人指定仓库存放，展会结束搬运回</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个球馆安装，服务次数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ascii="Times New Roman" w:hAnsi="宋体"/>
                <w:color w:val="000000" w:themeColor="text1"/>
                <w:szCs w:val="21"/>
                <w14:textFill>
                  <w14:solidFill>
                    <w14:schemeClr w14:val="tx1"/>
                  </w14:solidFill>
                </w14:textFill>
              </w:rPr>
              <w:t>）球馆试服务台物品拆除与搬运：拆除</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号气排球馆、</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号和</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号两个羽毛球馆试衣间、服务台设施（含物品）各</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套，搬运至采购人指定仓库存放，展会结束搬运回球馆安装摆放，服务次数</w:t>
            </w: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宋体"/>
                <w:color w:val="000000" w:themeColor="text1"/>
                <w:szCs w:val="21"/>
                <w14:textFill>
                  <w14:solidFill>
                    <w14:schemeClr w14:val="tx1"/>
                  </w14:solidFill>
                </w14:textFill>
              </w:rPr>
              <w:t>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）服务台、试衣间拆除、搭建：展会结束按采购人要求在原球馆使用围板重新搭建服务台</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套、试衣间</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套，服务次数</w:t>
            </w:r>
            <w:r>
              <w:rPr>
                <w:rFonts w:hint="eastAsia" w:ascii="Times New Roman" w:hAnsi="Times New Roman"/>
                <w:color w:val="000000" w:themeColor="text1"/>
                <w:szCs w:val="21"/>
                <w:lang w:val="en-US" w:eastAsia="zh-CN"/>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次</w:t>
            </w:r>
            <w:r>
              <w:rPr>
                <w:rFonts w:ascii="Times New Roman" w:hAnsi="宋体"/>
                <w:color w:val="000000" w:themeColor="text1"/>
                <w:szCs w:val="21"/>
                <w14:textFill>
                  <w14:solidFill>
                    <w14:schemeClr w14:val="tx1"/>
                  </w14:solidFill>
                </w14:textFill>
              </w:rPr>
              <w:t>，围板材料由采购人提供。</w:t>
            </w:r>
          </w:p>
          <w:p>
            <w:pPr>
              <w:spacing w:line="360" w:lineRule="auto"/>
              <w:rPr>
                <w:rFonts w:hint="eastAsia" w:ascii="Times New Roman" w:hAnsi="Times New Roman"/>
                <w:color w:val="000000" w:themeColor="text1"/>
                <w:kern w:val="0"/>
                <w:szCs w:val="21"/>
                <w:lang w:val="en-US" w:eastAsia="zh-CN"/>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6</w:t>
            </w:r>
            <w:r>
              <w:rPr>
                <w:rFonts w:ascii="Times New Roman" w:hAnsi="宋体"/>
                <w:color w:val="000000" w:themeColor="text1"/>
                <w:szCs w:val="21"/>
                <w14:textFill>
                  <w14:solidFill>
                    <w14:schemeClr w14:val="tx1"/>
                  </w14:solidFill>
                </w14:textFill>
              </w:rPr>
              <w:t>）</w:t>
            </w:r>
            <w:r>
              <w:rPr>
                <w:rFonts w:hint="eastAsia" w:ascii="Times New Roman" w:hAnsi="Times New Roman"/>
                <w:color w:val="000000" w:themeColor="text1"/>
                <w:kern w:val="0"/>
                <w:szCs w:val="21"/>
                <w:lang w:val="en-US" w:eastAsia="zh-CN"/>
                <w14:textFill>
                  <w14:solidFill>
                    <w14:schemeClr w14:val="tx1"/>
                  </w14:solidFill>
                </w14:textFill>
              </w:rPr>
              <w:t>球馆房屋高度约12米，</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w:t>
            </w:r>
            <w:r>
              <w:rPr>
                <w:rFonts w:hint="eastAsia" w:ascii="Times New Roman" w:hAnsi="Times New Roman"/>
                <w:color w:val="000000" w:themeColor="text1"/>
                <w:kern w:val="0"/>
                <w:szCs w:val="21"/>
                <w:lang w:val="en-US" w:eastAsia="zh-CN"/>
                <w14:textFill>
                  <w14:solidFill>
                    <w14:schemeClr w14:val="tx1"/>
                  </w14:solidFill>
                </w14:textFill>
              </w:rPr>
              <w:t>窗帘拆装需要登高作业，从安全角度出发，不建议采用龙门架登高作业，投标报价应考虑升降平台、升降机等工具费用。</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7</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月份东盟博览会时需将</w:t>
            </w:r>
            <w:r>
              <w:rPr>
                <w:rFonts w:ascii="Times New Roman" w:hAnsi="Times New Roman"/>
                <w:color w:val="000000" w:themeColor="text1"/>
                <w:szCs w:val="21"/>
                <w14:textFill>
                  <w14:solidFill>
                    <w14:schemeClr w14:val="tx1"/>
                  </w14:solidFill>
                </w14:textFill>
              </w:rPr>
              <w:t>9</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ascii="Times New Roman" w:hAnsi="宋体"/>
                <w:color w:val="000000" w:themeColor="text1"/>
                <w:szCs w:val="21"/>
                <w14:textFill>
                  <w14:solidFill>
                    <w14:schemeClr w14:val="tx1"/>
                  </w14:solidFill>
                </w14:textFill>
              </w:rPr>
              <w:t>号</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个球馆拆除的地胶、球网、窗帘、服务台、试衣间围板等物品搬运</w:t>
            </w:r>
            <w:r>
              <w:rPr>
                <w:rFonts w:hAnsi="宋体"/>
                <w:color w:val="000000" w:themeColor="text1"/>
                <w:szCs w:val="21"/>
                <w14:textFill>
                  <w14:solidFill>
                    <w14:schemeClr w14:val="tx1"/>
                  </w14:solidFill>
                </w14:textFill>
              </w:rPr>
              <w:t>至会展中心</w:t>
            </w:r>
            <w:r>
              <w:rPr>
                <w:rFonts w:ascii="Times New Roman" w:hAnsi="Times New Roman"/>
                <w:color w:val="000000" w:themeColor="text1"/>
                <w:szCs w:val="21"/>
                <w14:textFill>
                  <w14:solidFill>
                    <w14:schemeClr w14:val="tx1"/>
                  </w14:solidFill>
                </w14:textFill>
              </w:rPr>
              <w:t>A</w:t>
            </w:r>
            <w:r>
              <w:rPr>
                <w:color w:val="000000" w:themeColor="text1"/>
                <w:szCs w:val="21"/>
                <w14:textFill>
                  <w14:solidFill>
                    <w14:schemeClr w14:val="tx1"/>
                  </w14:solidFill>
                </w14:textFill>
              </w:rPr>
              <w:t>-E</w:t>
            </w:r>
            <w:r>
              <w:rPr>
                <w:rFonts w:ascii="Times New Roman" w:hAnsi="宋体"/>
                <w:color w:val="000000" w:themeColor="text1"/>
                <w:szCs w:val="21"/>
                <w14:textFill>
                  <w14:solidFill>
                    <w14:schemeClr w14:val="tx1"/>
                  </w14:solidFill>
                </w14:textFill>
              </w:rPr>
              <w:t>区</w:t>
            </w:r>
            <w:r>
              <w:rPr>
                <w:rFonts w:hAnsi="宋体"/>
                <w:color w:val="000000" w:themeColor="text1"/>
                <w:szCs w:val="21"/>
                <w14:textFill>
                  <w14:solidFill>
                    <w14:schemeClr w14:val="tx1"/>
                  </w14:solidFill>
                </w14:textFill>
              </w:rPr>
              <w:t>地下停车场区域范围内采购人指定地点</w:t>
            </w:r>
            <w:r>
              <w:rPr>
                <w:rFonts w:ascii="Times New Roman" w:hAnsi="宋体"/>
                <w:color w:val="000000" w:themeColor="text1"/>
                <w:szCs w:val="21"/>
                <w14:textFill>
                  <w14:solidFill>
                    <w14:schemeClr w14:val="tx1"/>
                  </w14:solidFill>
                </w14:textFill>
              </w:rPr>
              <w:t>，</w:t>
            </w:r>
            <w:r>
              <w:rPr>
                <w:rFonts w:hint="eastAsia" w:ascii="Times New Roman" w:hAnsi="宋体"/>
                <w:color w:val="000000" w:themeColor="text1"/>
                <w:szCs w:val="21"/>
                <w:lang w:eastAsia="zh-CN"/>
                <w14:textFill>
                  <w14:solidFill>
                    <w14:schemeClr w14:val="tx1"/>
                  </w14:solidFill>
                </w14:textFill>
              </w:rPr>
              <w:t>投标报价应考虑运输工具的投入成本</w:t>
            </w:r>
            <w:r>
              <w:rPr>
                <w:rFonts w:ascii="Times New Roman" w:hAnsi="Times New Roman"/>
                <w:color w:val="000000" w:themeColor="text1"/>
                <w:szCs w:val="21"/>
                <w14:textFill>
                  <w14:solidFill>
                    <w14:schemeClr w14:val="tx1"/>
                  </w14:solidFill>
                </w14:textFill>
              </w:rPr>
              <w:t>(</w:t>
            </w:r>
            <w:r>
              <w:rPr>
                <w:rFonts w:ascii="Times New Roman" w:hAnsi="宋体"/>
                <w:color w:val="000000" w:themeColor="text1"/>
                <w:szCs w:val="21"/>
                <w14:textFill>
                  <w14:solidFill>
                    <w14:schemeClr w14:val="tx1"/>
                  </w14:solidFill>
                </w14:textFill>
              </w:rPr>
              <w:t>如东博会时间推迟，实施时间相应延后，具体时间以采购人确定为准）。</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五、报价要求与结算方法：</w:t>
            </w:r>
          </w:p>
          <w:p>
            <w:pPr>
              <w:spacing w:line="360" w:lineRule="auto"/>
              <w:jc w:val="left"/>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成交</w:t>
            </w:r>
            <w:r>
              <w:rPr>
                <w:rFonts w:ascii="Times New Roman" w:hAnsi="宋体"/>
                <w:color w:val="000000" w:themeColor="text1"/>
                <w:szCs w:val="21"/>
                <w14:textFill>
                  <w14:solidFill>
                    <w14:schemeClr w14:val="tx1"/>
                  </w14:solidFill>
                </w14:textFill>
              </w:rPr>
              <w:t>人需按采购人提供的</w:t>
            </w:r>
            <w:r>
              <w:rPr>
                <w:rFonts w:hAnsi="宋体"/>
                <w:color w:val="000000" w:themeColor="text1"/>
                <w:szCs w:val="21"/>
                <w14:textFill>
                  <w14:solidFill>
                    <w14:schemeClr w14:val="tx1"/>
                  </w14:solidFill>
                </w14:textFill>
              </w:rPr>
              <w:t>服务</w:t>
            </w:r>
            <w:r>
              <w:rPr>
                <w:rFonts w:ascii="Times New Roman" w:hAnsi="宋体"/>
                <w:color w:val="000000" w:themeColor="text1"/>
                <w:szCs w:val="21"/>
                <w14:textFill>
                  <w14:solidFill>
                    <w14:schemeClr w14:val="tx1"/>
                  </w14:solidFill>
                </w14:textFill>
              </w:rPr>
              <w:t>内容清单</w:t>
            </w:r>
            <w:r>
              <w:rPr>
                <w:rFonts w:hAnsi="宋体"/>
                <w:color w:val="000000" w:themeColor="text1"/>
                <w:szCs w:val="21"/>
                <w14:textFill>
                  <w14:solidFill>
                    <w14:schemeClr w14:val="tx1"/>
                  </w14:solidFill>
                </w14:textFill>
              </w:rPr>
              <w:t>以及项目需要投入的登高及运输设备分项报价</w:t>
            </w:r>
            <w:r>
              <w:rPr>
                <w:rFonts w:ascii="Times New Roman"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服务内容清单的</w:t>
            </w:r>
            <w:r>
              <w:rPr>
                <w:rFonts w:ascii="Times New Roman" w:hAnsi="宋体"/>
                <w:color w:val="000000" w:themeColor="text1"/>
                <w:szCs w:val="21"/>
                <w14:textFill>
                  <w14:solidFill>
                    <w14:schemeClr w14:val="tx1"/>
                  </w14:solidFill>
                </w14:textFill>
              </w:rPr>
              <w:t>项目仅供参考，结算以实际完成工作量及实际展会拆装项目</w:t>
            </w:r>
            <w:r>
              <w:rPr>
                <w:rFonts w:hint="eastAsia" w:ascii="Times New Roman" w:hAnsi="宋体"/>
                <w:color w:val="000000" w:themeColor="text1"/>
                <w:szCs w:val="21"/>
                <w14:textFill>
                  <w14:solidFill>
                    <w14:schemeClr w14:val="tx1"/>
                  </w14:solidFill>
                </w14:textFill>
              </w:rPr>
              <w:t>为准，</w:t>
            </w:r>
            <w:r>
              <w:rPr>
                <w:rFonts w:ascii="Times New Roman" w:hAnsi="宋体"/>
                <w:color w:val="000000" w:themeColor="text1"/>
                <w:szCs w:val="21"/>
                <w14:textFill>
                  <w14:solidFill>
                    <w14:schemeClr w14:val="tx1"/>
                  </w14:solidFill>
                </w14:textFill>
              </w:rPr>
              <w:t>如球馆搬迁拆装次数增加，超出合同金额部分按合同单价结算</w:t>
            </w:r>
            <w:r>
              <w:rPr>
                <w:rFonts w:hint="eastAsia" w:ascii="Times New Roman"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6" w:hRule="atLeast"/>
          <w:jc w:val="center"/>
        </w:trPr>
        <w:tc>
          <w:tcPr>
            <w:tcW w:w="599" w:type="dxa"/>
            <w:noWrap w:val="0"/>
            <w:vAlign w:val="center"/>
          </w:tcPr>
          <w:p>
            <w:pPr>
              <w:widowControl/>
              <w:spacing w:line="400" w:lineRule="exact"/>
              <w:jc w:val="center"/>
              <w:rPr>
                <w:rFonts w:ascii="Times New Roman" w:hAnsi="Times New Roman"/>
                <w:color w:val="000000" w:themeColor="text1"/>
                <w:kern w:val="0"/>
                <w:szCs w:val="21"/>
                <w14:textFill>
                  <w14:solidFill>
                    <w14:schemeClr w14:val="tx1"/>
                  </w14:solidFill>
                </w14:textFill>
              </w:rPr>
            </w:pPr>
            <w:r>
              <w:rPr>
                <w:rFonts w:ascii="Times New Roman" w:hAnsi="宋体"/>
                <w:color w:val="000000" w:themeColor="text1"/>
                <w:kern w:val="0"/>
                <w:szCs w:val="21"/>
                <w14:textFill>
                  <w14:solidFill>
                    <w14:schemeClr w14:val="tx1"/>
                  </w14:solidFill>
                </w14:textFill>
              </w:rPr>
              <w:t>商务条款</w:t>
            </w:r>
          </w:p>
        </w:tc>
        <w:tc>
          <w:tcPr>
            <w:tcW w:w="8204" w:type="dxa"/>
            <w:gridSpan w:val="3"/>
            <w:noWrap w:val="0"/>
            <w:vAlign w:val="center"/>
          </w:tcPr>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一、合同签订期：自成交通知书发出之日起</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7  </w:t>
            </w:r>
            <w:r>
              <w:rPr>
                <w:rFonts w:ascii="Times New Roman" w:hAnsi="宋体"/>
                <w:color w:val="000000" w:themeColor="text1"/>
                <w:szCs w:val="21"/>
                <w14:textFill>
                  <w14:solidFill>
                    <w14:schemeClr w14:val="tx1"/>
                  </w14:solidFill>
                </w14:textFill>
              </w:rPr>
              <w:t>个工作日内</w:t>
            </w:r>
            <w:r>
              <w:rPr>
                <w:rFonts w:hint="eastAsia" w:ascii="Times New Roman" w:hAnsi="宋体"/>
                <w:color w:val="000000" w:themeColor="text1"/>
                <w:szCs w:val="21"/>
                <w14:textFill>
                  <w14:solidFill>
                    <w14:schemeClr w14:val="tx1"/>
                  </w14:solidFill>
                </w14:textFill>
              </w:rPr>
              <w:t>。</w:t>
            </w:r>
          </w:p>
          <w:p>
            <w:pPr>
              <w:spacing w:line="360" w:lineRule="auto"/>
              <w:ind w:left="210" w:hanging="210" w:hangingChars="1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★二、提交服务成果时间：</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自合同签订之日起至服务完成并通过验收之日止，具体时间根据采购人展会需要安排</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三、提交服务成果地点：</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南宁国际会展中心</w:t>
            </w:r>
            <w:r>
              <w:rPr>
                <w:rFonts w:ascii="Times New Roman" w:hAnsi="Times New Roman"/>
                <w:color w:val="000000" w:themeColor="text1"/>
                <w:szCs w:val="21"/>
                <w:u w:val="single"/>
                <w14:textFill>
                  <w14:solidFill>
                    <w14:schemeClr w14:val="tx1"/>
                  </w14:solidFill>
                </w14:textFill>
              </w:rPr>
              <w:t>9</w:t>
            </w:r>
            <w:r>
              <w:rPr>
                <w:rFonts w:ascii="Times New Roman" w:hAnsi="宋体"/>
                <w:color w:val="000000" w:themeColor="text1"/>
                <w:szCs w:val="21"/>
                <w:u w:val="single"/>
                <w14:textFill>
                  <w14:solidFill>
                    <w14:schemeClr w14:val="tx1"/>
                  </w14:solidFill>
                </w14:textFill>
              </w:rPr>
              <w:t>号、</w:t>
            </w:r>
            <w:r>
              <w:rPr>
                <w:rFonts w:ascii="Times New Roman" w:hAnsi="Times New Roman"/>
                <w:color w:val="000000" w:themeColor="text1"/>
                <w:szCs w:val="21"/>
                <w:u w:val="single"/>
                <w14:textFill>
                  <w14:solidFill>
                    <w14:schemeClr w14:val="tx1"/>
                  </w14:solidFill>
                </w14:textFill>
              </w:rPr>
              <w:t>10</w:t>
            </w:r>
            <w:r>
              <w:rPr>
                <w:rFonts w:ascii="Times New Roman" w:hAnsi="宋体"/>
                <w:color w:val="000000" w:themeColor="text1"/>
                <w:szCs w:val="21"/>
                <w:u w:val="single"/>
                <w14:textFill>
                  <w14:solidFill>
                    <w14:schemeClr w14:val="tx1"/>
                  </w14:solidFill>
                </w14:textFill>
              </w:rPr>
              <w:t>号、</w:t>
            </w:r>
            <w:r>
              <w:rPr>
                <w:rFonts w:ascii="Times New Roman" w:hAnsi="Times New Roman"/>
                <w:color w:val="000000" w:themeColor="text1"/>
                <w:szCs w:val="21"/>
                <w:u w:val="single"/>
                <w14:textFill>
                  <w14:solidFill>
                    <w14:schemeClr w14:val="tx1"/>
                  </w14:solidFill>
                </w14:textFill>
              </w:rPr>
              <w:t>11</w:t>
            </w:r>
            <w:r>
              <w:rPr>
                <w:rFonts w:ascii="Times New Roman" w:hAnsi="宋体"/>
                <w:color w:val="000000" w:themeColor="text1"/>
                <w:szCs w:val="21"/>
                <w:u w:val="single"/>
                <w14:textFill>
                  <w14:solidFill>
                    <w14:schemeClr w14:val="tx1"/>
                  </w14:solidFill>
                </w14:textFill>
              </w:rPr>
              <w:t>号展厅及采购人指定仓库</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 xml:space="preserve"> </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四、售后服务要求：</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、质量保证期：</w:t>
            </w:r>
            <w:r>
              <w:rPr>
                <w:rFonts w:ascii="Times New Roman" w:hAnsi="Times New Roman"/>
                <w:color w:val="000000" w:themeColor="text1"/>
                <w:szCs w:val="21"/>
                <w:u w:val="single"/>
                <w14:textFill>
                  <w14:solidFill>
                    <w14:schemeClr w14:val="tx1"/>
                  </w14:solidFill>
                </w14:textFill>
              </w:rPr>
              <w:t>1</w:t>
            </w:r>
            <w:r>
              <w:rPr>
                <w:rFonts w:ascii="Times New Roman" w:hAnsi="宋体"/>
                <w:color w:val="000000" w:themeColor="text1"/>
                <w:szCs w:val="21"/>
                <w:u w:val="single"/>
                <w14:textFill>
                  <w14:solidFill>
                    <w14:schemeClr w14:val="tx1"/>
                  </w14:solidFill>
                </w14:textFill>
              </w:rPr>
              <w:t>年</w:t>
            </w:r>
            <w:r>
              <w:rPr>
                <w:rFonts w:ascii="Times New Roman" w:hAnsi="宋体"/>
                <w:color w:val="000000" w:themeColor="text1"/>
                <w:szCs w:val="21"/>
                <w14:textFill>
                  <w14:solidFill>
                    <w14:schemeClr w14:val="tx1"/>
                  </w14:solidFill>
                </w14:textFill>
              </w:rPr>
              <w:t>（自提交服务成果并验收合格之日起计）</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、在实施服务过程中因成交人原因导致物品损坏，给采购人造成损失的，成交供应商应负责修复达到正常使用状态或购买全新货物赔偿。</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、处理问题响应时间：成交人接到采购人处理问题通知后</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应在</w:t>
            </w:r>
            <w:r>
              <w:rPr>
                <w:rFonts w:ascii="Times New Roman" w:hAnsi="Times New Roman"/>
                <w:color w:val="000000" w:themeColor="text1"/>
                <w:szCs w:val="21"/>
                <w:u w:val="single"/>
                <w14:textFill>
                  <w14:solidFill>
                    <w14:schemeClr w14:val="tx1"/>
                  </w14:solidFill>
                </w14:textFill>
              </w:rPr>
              <w:t>2</w:t>
            </w:r>
            <w:r>
              <w:rPr>
                <w:rFonts w:ascii="Times New Roman" w:hAnsi="宋体"/>
                <w:color w:val="000000" w:themeColor="text1"/>
                <w:szCs w:val="21"/>
                <w:u w:val="single"/>
                <w14:textFill>
                  <w14:solidFill>
                    <w14:schemeClr w14:val="tx1"/>
                  </w14:solidFill>
                </w14:textFill>
              </w:rPr>
              <w:t>小时</w:t>
            </w:r>
            <w:r>
              <w:rPr>
                <w:rFonts w:ascii="Times New Roman" w:hAnsi="宋体"/>
                <w:color w:val="000000" w:themeColor="text1"/>
                <w:szCs w:val="21"/>
                <w14:textFill>
                  <w14:solidFill>
                    <w14:schemeClr w14:val="tx1"/>
                  </w14:solidFill>
                </w14:textFill>
              </w:rPr>
              <w:t>内到达采购人指定现场处理故障。</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六、其他约定。</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、报价必须含以下部分，包括但不限于：</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）工人工资、加班费、搬运费、装卸费、安装费；</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）升降机租赁费、拖车租赁费、叉车租赁费以及必要的专用工具租赁费用；</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）必要的保险费用和各项税金；</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、付款方式：本项目无预付款，成交人需提交服务成果并经采购人验收合格后提供增值税专用发票，采购人按实际工作完成情况每半年支付一次合同款（以双方签字确认实际工作量所对应费用支付相应的合同款</w:t>
            </w:r>
            <w:r>
              <w:rPr>
                <w:rFonts w:hint="eastAsia" w:ascii="Times New Roman" w:hAnsi="宋体"/>
                <w:color w:val="000000" w:themeColor="text1"/>
                <w:szCs w:val="21"/>
                <w:lang w:val="en-US" w:eastAsia="zh-CN"/>
                <w14:textFill>
                  <w14:solidFill>
                    <w14:schemeClr w14:val="tx1"/>
                  </w14:solidFill>
                </w14:textFill>
              </w:rPr>
              <w:t>,</w:t>
            </w:r>
            <w:r>
              <w:rPr>
                <w:rFonts w:ascii="Times New Roman" w:hAnsi="宋体"/>
                <w:color w:val="000000" w:themeColor="text1"/>
                <w:szCs w:val="21"/>
                <w14:textFill>
                  <w14:solidFill>
                    <w14:schemeClr w14:val="tx1"/>
                  </w14:solidFill>
                </w14:textFill>
              </w:rPr>
              <w:t>如球馆搬迁拆装次数增加，超出合同金额部分按合同单价结算）。</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ascii="Times New Roman" w:hAnsi="宋体"/>
                <w:color w:val="000000" w:themeColor="text1"/>
                <w:szCs w:val="21"/>
                <w14:textFill>
                  <w14:solidFill>
                    <w14:schemeClr w14:val="tx1"/>
                  </w14:solidFill>
                </w14:textFill>
              </w:rPr>
              <w:t>、违约责任：</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ascii="Times New Roman" w:hAnsi="宋体"/>
                <w:color w:val="000000" w:themeColor="text1"/>
                <w:szCs w:val="21"/>
                <w14:textFill>
                  <w14:solidFill>
                    <w14:schemeClr w14:val="tx1"/>
                  </w14:solidFill>
                </w14:textFill>
              </w:rPr>
              <w:t>）在合同履约期内成交人不服从采购人工作安排，无法在限定时间内完成工作任务或存在服务质量问题不按采购人要求进行限期整改的，采购人有权采取补救措施并向中标人追偿损失；</w:t>
            </w:r>
          </w:p>
          <w:p>
            <w:pPr>
              <w:spacing w:line="360" w:lineRule="auto"/>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ascii="Times New Roman" w:hAnsi="宋体"/>
                <w:color w:val="000000" w:themeColor="text1"/>
                <w:szCs w:val="21"/>
                <w14:textFill>
                  <w14:solidFill>
                    <w14:schemeClr w14:val="tx1"/>
                  </w14:solidFill>
                </w14:textFill>
              </w:rPr>
              <w:t>）成交人无法按时履约次数累计满三次的，采购人有权单方面解除合同。</w:t>
            </w:r>
          </w:p>
          <w:p>
            <w:pPr>
              <w:pStyle w:val="25"/>
              <w:spacing w:line="360" w:lineRule="auto"/>
              <w:rPr>
                <w:rFonts w:ascii="Times New Roman" w:hAnsi="Times New Roman"/>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lang w:val="en-US" w:eastAsia="zh-CN"/>
                <w14:textFill>
                  <w14:solidFill>
                    <w14:schemeClr w14:val="tx1"/>
                  </w14:solidFill>
                </w14:textFill>
              </w:rPr>
              <w:t>4</w:t>
            </w:r>
            <w:r>
              <w:rPr>
                <w:rFonts w:ascii="Times New Roman" w:hAnsi="宋体"/>
                <w:color w:val="000000" w:themeColor="text1"/>
                <w:kern w:val="2"/>
                <w:sz w:val="21"/>
                <w:szCs w:val="21"/>
                <w:lang w:val="en-US" w:eastAsia="zh-CN"/>
                <w14:textFill>
                  <w14:solidFill>
                    <w14:schemeClr w14:val="tx1"/>
                  </w14:solidFill>
                </w14:textFill>
              </w:rPr>
              <w:t>、</w:t>
            </w:r>
            <w:r>
              <w:rPr>
                <w:rFonts w:ascii="Times New Roman" w:hAnsi="宋体"/>
                <w:color w:val="000000" w:themeColor="text1"/>
                <w:sz w:val="21"/>
                <w:szCs w:val="21"/>
                <w:lang w:val="en-US" w:eastAsia="zh-CN"/>
                <w14:textFill>
                  <w14:solidFill>
                    <w14:schemeClr w14:val="tx1"/>
                  </w14:solidFill>
                </w14:textFill>
              </w:rPr>
              <w:t>成交人</w:t>
            </w:r>
            <w:r>
              <w:rPr>
                <w:rFonts w:ascii="Times New Roman" w:hAnsi="宋体"/>
                <w:color w:val="000000" w:themeColor="text1"/>
                <w:kern w:val="2"/>
                <w:sz w:val="21"/>
                <w:szCs w:val="21"/>
                <w:lang w:val="en-US" w:eastAsia="zh-CN"/>
                <w14:textFill>
                  <w14:solidFill>
                    <w14:schemeClr w14:val="tx1"/>
                  </w14:solidFill>
                </w14:textFill>
              </w:rPr>
              <w:t>进行现场搬迁拆、装时，应提前告知采购人，并须做好现场的安全防范和警示措施，若因成交人搬迁拆、装工作有不当之处，造成了人员意外伤害，或引起投诉、起诉等，由成交人承担所有法律责任。</w:t>
            </w:r>
          </w:p>
          <w:p>
            <w:pPr>
              <w:spacing w:line="360" w:lineRule="auto"/>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r>
              <w:rPr>
                <w:rFonts w:ascii="Times New Roman" w:hAnsi="宋体"/>
                <w:color w:val="000000" w:themeColor="text1"/>
                <w:szCs w:val="21"/>
                <w14:textFill>
                  <w14:solidFill>
                    <w14:schemeClr w14:val="tx1"/>
                  </w14:solidFill>
                </w14:textFill>
              </w:rPr>
              <w:t>、竞标人可自行前往采购人现场实地勘查，所产生的费用和风险由竞标人自行负责。</w:t>
            </w:r>
          </w:p>
        </w:tc>
      </w:tr>
    </w:tbl>
    <w:p>
      <w:pPr>
        <w:widowControl/>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p>
      <w:pPr>
        <w:widowControl/>
        <w:jc w:val="left"/>
        <w:rPr>
          <w:rFonts w:hint="eastAsia"/>
          <w:color w:val="000000" w:themeColor="text1"/>
          <w:highlight w:val="none"/>
          <w:lang w:val="en-US" w:eastAsia="zh-CN"/>
          <w14:textFill>
            <w14:solidFill>
              <w14:schemeClr w14:val="tx1"/>
            </w14:solidFill>
          </w14:textFill>
        </w:rPr>
      </w:pPr>
    </w:p>
    <w:p>
      <w:pPr>
        <w:ind w:firstLine="620" w:firstLineChars="294"/>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附件：报价清单</w:t>
      </w:r>
    </w:p>
    <w:tbl>
      <w:tblPr>
        <w:tblStyle w:val="49"/>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17"/>
        <w:gridCol w:w="1350"/>
        <w:gridCol w:w="1242"/>
        <w:gridCol w:w="3720"/>
        <w:gridCol w:w="723"/>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序号</w:t>
            </w:r>
          </w:p>
        </w:tc>
        <w:tc>
          <w:tcPr>
            <w:tcW w:w="917" w:type="dxa"/>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项目</w:t>
            </w:r>
          </w:p>
        </w:tc>
        <w:tc>
          <w:tcPr>
            <w:tcW w:w="1350"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预计展会时间</w:t>
            </w:r>
          </w:p>
        </w:tc>
        <w:tc>
          <w:tcPr>
            <w:tcW w:w="4962" w:type="dxa"/>
            <w:gridSpan w:val="2"/>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工作内容名称</w:t>
            </w:r>
          </w:p>
        </w:tc>
        <w:tc>
          <w:tcPr>
            <w:tcW w:w="723"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数量</w:t>
            </w:r>
          </w:p>
        </w:tc>
        <w:tc>
          <w:tcPr>
            <w:tcW w:w="1177" w:type="dxa"/>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917" w:type="dxa"/>
            <w:vMerge w:val="restart"/>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第九届南宁国际汽车展球馆搬迁、安装</w:t>
            </w:r>
          </w:p>
        </w:tc>
        <w:tc>
          <w:tcPr>
            <w:tcW w:w="1350" w:type="dxa"/>
            <w:vMerge w:val="restart"/>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6月8</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15日</w:t>
            </w: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塑胶地板拆除与安装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拆除9号气排球馆、10号和11号两个羽毛球馆3个球馆48片塑胶地板至仓库存放，展会结束重新搬运回3个球馆安装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48块</w:t>
            </w:r>
          </w:p>
        </w:tc>
        <w:tc>
          <w:tcPr>
            <w:tcW w:w="1177" w:type="dxa"/>
            <w:vMerge w:val="restart"/>
            <w:noWrap w:val="0"/>
            <w:vAlign w:val="center"/>
          </w:tcPr>
          <w:p>
            <w:pPr>
              <w:adjustRightInd w:val="0"/>
              <w:snapToGrid w:val="0"/>
              <w:jc w:val="left"/>
              <w:rPr>
                <w:rFonts w:hint="eastAsia" w:ascii="宋体" w:hAnsi="宋体" w:eastAsia="宋体"/>
                <w:color w:val="000000" w:themeColor="text1"/>
                <w:kern w:val="0"/>
                <w:szCs w:val="21"/>
                <w:lang w:eastAsia="zh-CN"/>
                <w14:textFill>
                  <w14:solidFill>
                    <w14:schemeClr w14:val="tx1"/>
                  </w14:solidFill>
                </w14:textFill>
              </w:rPr>
            </w:pPr>
            <w:r>
              <w:rPr>
                <w:rFonts w:hint="eastAsia" w:hAnsi="宋体"/>
                <w:color w:val="000000" w:themeColor="text1"/>
                <w:szCs w:val="21"/>
                <w:shd w:val="clear" w:color="auto" w:fill="auto"/>
                <w:lang w:eastAsia="zh-CN"/>
                <w14:textFill>
                  <w14:solidFill>
                    <w14:schemeClr w14:val="tx1"/>
                  </w14:solidFill>
                </w14:textFill>
              </w:rPr>
              <w:t>展会</w:t>
            </w:r>
            <w:r>
              <w:rPr>
                <w:rFonts w:ascii="Times New Roman" w:hAnsi="宋体"/>
                <w:color w:val="000000" w:themeColor="text1"/>
                <w:szCs w:val="21"/>
                <w:shd w:val="clear" w:color="auto" w:fill="auto"/>
                <w14:textFill>
                  <w14:solidFill>
                    <w14:schemeClr w14:val="tx1"/>
                  </w14:solidFill>
                </w14:textFill>
              </w:rPr>
              <w:t>项目仅供</w:t>
            </w:r>
            <w:r>
              <w:rPr>
                <w:rFonts w:hint="eastAsia" w:hAnsi="宋体"/>
                <w:color w:val="000000" w:themeColor="text1"/>
                <w:szCs w:val="21"/>
                <w:shd w:val="clear" w:color="auto" w:fill="auto"/>
                <w:lang w:eastAsia="zh-CN"/>
                <w14:textFill>
                  <w14:solidFill>
                    <w14:schemeClr w14:val="tx1"/>
                  </w14:solidFill>
                </w14:textFill>
              </w:rPr>
              <w:t>参</w:t>
            </w:r>
            <w:r>
              <w:rPr>
                <w:rFonts w:ascii="Times New Roman" w:hAnsi="宋体"/>
                <w:color w:val="000000" w:themeColor="text1"/>
                <w:szCs w:val="21"/>
                <w:shd w:val="clear" w:color="auto" w:fill="auto"/>
                <w14:textFill>
                  <w14:solidFill>
                    <w14:schemeClr w14:val="tx1"/>
                  </w14:solidFill>
                </w14:textFill>
              </w:rPr>
              <w:t>考，结算以实际完成工作量及实际展会拆装项目</w:t>
            </w:r>
            <w:r>
              <w:rPr>
                <w:rFonts w:hint="eastAsia" w:ascii="Times New Roman" w:hAnsi="宋体"/>
                <w:color w:val="000000" w:themeColor="text1"/>
                <w:szCs w:val="21"/>
                <w:shd w:val="clear" w:color="auto" w:fill="auto"/>
                <w14:textFill>
                  <w14:solidFill>
                    <w14:schemeClr w14:val="tx1"/>
                  </w14:solidFill>
                </w14:textFill>
              </w:rPr>
              <w:t>为准</w:t>
            </w:r>
            <w:r>
              <w:rPr>
                <w:rFonts w:hint="eastAsia" w:hAnsi="宋体"/>
                <w:color w:val="000000" w:themeColor="text1"/>
                <w:szCs w:val="21"/>
                <w:shd w:val="clear" w:color="auto" w:fill="auto"/>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网柱撤离与安装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拆除9号气排球馆、10号和11号两个羽毛球馆3个球馆48套网柱至仓库存放，展会结束重新搬运回3个球馆安装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48套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遮光窗帘布拆运与重新安装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拆除9号气排球馆、10号和11号两个羽毛球馆遮光窗帘布搬运仓库存放，展会结束搬运回3个球馆安装共5350平方米</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球馆服务台物品设施拆运与安装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拆除球馆服务台物品设施搬运至仓库存放，展会结束搬运回球馆安装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服务台、试衣间围板拆运、搭建</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拆除球馆服务台、试衣间搬运至指定仓库，展会结束用隔层围板搭建服务台、试衣间</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917" w:type="dxa"/>
            <w:vMerge w:val="restart"/>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中国东盟博览会球馆搬迁、安装</w:t>
            </w:r>
          </w:p>
        </w:tc>
        <w:tc>
          <w:tcPr>
            <w:tcW w:w="1350" w:type="dxa"/>
            <w:vMerge w:val="restart"/>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9月8-23日</w:t>
            </w: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塑胶地板拆除与安装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拆除9号气排球馆、10号和11号两个羽毛球馆3个球馆48片塑胶地板至仓库存放，展会结束重新搬运回3个球馆安装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48块</w:t>
            </w:r>
          </w:p>
        </w:tc>
        <w:tc>
          <w:tcPr>
            <w:tcW w:w="1177" w:type="dxa"/>
            <w:vMerge w:val="restart"/>
            <w:noWrap w:val="0"/>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r>
              <w:rPr>
                <w:rFonts w:hint="eastAsia" w:hAnsi="宋体"/>
                <w:color w:val="auto"/>
                <w:szCs w:val="21"/>
                <w:shd w:val="clear" w:color="auto" w:fill="auto"/>
                <w:lang w:eastAsia="zh-CN"/>
              </w:rPr>
              <w:t>展会</w:t>
            </w:r>
            <w:r>
              <w:rPr>
                <w:rFonts w:ascii="Times New Roman" w:hAnsi="宋体"/>
                <w:color w:val="auto"/>
                <w:szCs w:val="21"/>
                <w:shd w:val="clear" w:color="auto" w:fill="auto"/>
              </w:rPr>
              <w:t>项目仅供</w:t>
            </w:r>
            <w:r>
              <w:rPr>
                <w:rFonts w:hint="eastAsia" w:hAnsi="宋体"/>
                <w:color w:val="auto"/>
                <w:szCs w:val="21"/>
                <w:shd w:val="clear" w:color="auto" w:fill="auto"/>
                <w:lang w:eastAsia="zh-CN"/>
              </w:rPr>
              <w:t>参</w:t>
            </w:r>
            <w:r>
              <w:rPr>
                <w:rFonts w:ascii="Times New Roman" w:hAnsi="宋体"/>
                <w:color w:val="auto"/>
                <w:szCs w:val="21"/>
                <w:shd w:val="clear" w:color="auto" w:fill="auto"/>
              </w:rPr>
              <w:t>考，结算以实际完成工作量及实际展会拆装项目</w:t>
            </w:r>
            <w:r>
              <w:rPr>
                <w:rFonts w:hint="eastAsia" w:ascii="Times New Roman" w:hAnsi="宋体"/>
                <w:color w:val="auto"/>
                <w:szCs w:val="21"/>
                <w:shd w:val="clear" w:color="auto" w:fill="auto"/>
              </w:rPr>
              <w:t>为准</w:t>
            </w:r>
            <w:r>
              <w:rPr>
                <w:rFonts w:hint="eastAsia" w:hAnsi="宋体"/>
                <w:color w:val="auto"/>
                <w:szCs w:val="21"/>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网柱撤离与安装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拆除9号气排球馆、10号和11号两个羽毛球馆3个球馆48套网柱至仓库存放，展会结束重新搬运回3个球馆安装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48套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widowControl/>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widowControl/>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遮光窗帘布拆运与重新安装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拆除9号气排球馆、10号和11号两个羽毛球馆遮光窗帘布搬运仓库存放，展会结束搬运回3个球馆安装5350平方米</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球馆服务台物品设施拆运与安装</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拆除球馆服务台物品设施搬运至仓库存放，展会结束搬运回球馆安装</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2套</w:t>
            </w:r>
          </w:p>
        </w:tc>
        <w:tc>
          <w:tcPr>
            <w:tcW w:w="1177" w:type="dxa"/>
            <w:vMerge w:val="continue"/>
            <w:noWrap w:val="0"/>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p>
        </w:tc>
        <w:tc>
          <w:tcPr>
            <w:tcW w:w="917" w:type="dxa"/>
            <w:vMerge w:val="continue"/>
            <w:noWrap w:val="0"/>
            <w:vAlign w:val="top"/>
          </w:tcPr>
          <w:p>
            <w:pPr>
              <w:adjustRightInd w:val="0"/>
              <w:snapToGrid w:val="0"/>
              <w:jc w:val="left"/>
              <w:rPr>
                <w:rFonts w:ascii="宋体" w:hAnsi="宋体"/>
                <w:color w:val="000000" w:themeColor="text1"/>
                <w:kern w:val="0"/>
                <w:szCs w:val="21"/>
                <w14:textFill>
                  <w14:solidFill>
                    <w14:schemeClr w14:val="tx1"/>
                  </w14:solidFill>
                </w14:textFill>
              </w:rPr>
            </w:pPr>
          </w:p>
        </w:tc>
        <w:tc>
          <w:tcPr>
            <w:tcW w:w="1350" w:type="dxa"/>
            <w:vMerge w:val="continue"/>
            <w:noWrap/>
            <w:vAlign w:val="center"/>
          </w:tcPr>
          <w:p>
            <w:pPr>
              <w:adjustRightInd w:val="0"/>
              <w:snapToGrid w:val="0"/>
              <w:jc w:val="left"/>
              <w:rPr>
                <w:rFonts w:ascii="宋体" w:hAnsi="宋体"/>
                <w:color w:val="000000" w:themeColor="text1"/>
                <w:kern w:val="0"/>
                <w:szCs w:val="21"/>
                <w14:textFill>
                  <w14:solidFill>
                    <w14:schemeClr w14:val="tx1"/>
                  </w14:solidFill>
                </w14:textFill>
              </w:rPr>
            </w:pPr>
          </w:p>
        </w:tc>
        <w:tc>
          <w:tcPr>
            <w:tcW w:w="1242" w:type="dxa"/>
            <w:noWrap/>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服务台、试衣间围板拆运、搭建</w:t>
            </w:r>
          </w:p>
        </w:tc>
        <w:tc>
          <w:tcPr>
            <w:tcW w:w="3720" w:type="dxa"/>
            <w:noWrap w:val="0"/>
            <w:vAlign w:val="center"/>
          </w:tcPr>
          <w:p>
            <w:pPr>
              <w:widowControl/>
              <w:adjustRightInd w:val="0"/>
              <w:snapToGrid w:val="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拆除球馆服务台、试衣间搬运至指定仓库，展会结束用隔层围板搭建服务台、试衣间</w:t>
            </w:r>
          </w:p>
        </w:tc>
        <w:tc>
          <w:tcPr>
            <w:tcW w:w="723" w:type="dxa"/>
            <w:noWrap/>
            <w:vAlign w:val="center"/>
          </w:tcPr>
          <w:p>
            <w:pPr>
              <w:adjustRightInd w:val="0"/>
              <w:snapToGrid w:val="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4套</w:t>
            </w:r>
          </w:p>
        </w:tc>
        <w:tc>
          <w:tcPr>
            <w:tcW w:w="1177" w:type="dxa"/>
            <w:vMerge w:val="continue"/>
            <w:noWrap w:val="0"/>
            <w:vAlign w:val="center"/>
          </w:tcPr>
          <w:p>
            <w:pPr>
              <w:adjustRightInd w:val="0"/>
              <w:snapToGrid w:val="0"/>
              <w:jc w:val="both"/>
              <w:rPr>
                <w:rFonts w:ascii="宋体" w:hAnsi="宋体"/>
                <w:color w:val="000000" w:themeColor="text1"/>
                <w:kern w:val="0"/>
                <w:szCs w:val="21"/>
                <w14:textFill>
                  <w14:solidFill>
                    <w14:schemeClr w14:val="tx1"/>
                  </w14:solidFill>
                </w14:textFill>
              </w:rPr>
            </w:pPr>
          </w:p>
        </w:tc>
      </w:tr>
    </w:tbl>
    <w:p>
      <w:pPr>
        <w:widowControl/>
        <w:jc w:val="left"/>
        <w:rPr>
          <w:rFonts w:hint="eastAsia"/>
          <w:color w:val="000000" w:themeColor="text1"/>
          <w:highlight w:val="none"/>
          <w:lang w:val="en-US" w:eastAsia="zh-CN"/>
          <w14:textFill>
            <w14:solidFill>
              <w14:schemeClr w14:val="tx1"/>
            </w14:solidFill>
          </w14:textFill>
        </w:rPr>
      </w:pPr>
    </w:p>
    <w:p>
      <w:pPr>
        <w:pStyle w:val="4"/>
        <w:jc w:val="center"/>
        <w:rPr>
          <w:rFonts w:hAnsi="宋体"/>
          <w:color w:val="000000" w:themeColor="text1"/>
          <w:highlight w:val="none"/>
          <w14:textFill>
            <w14:solidFill>
              <w14:schemeClr w14:val="tx1"/>
            </w14:solidFill>
          </w14:textFill>
        </w:rPr>
      </w:pPr>
      <w:bookmarkStart w:id="5" w:name="_Toc393040187"/>
      <w:r>
        <w:rPr>
          <w:rFonts w:hint="eastAsia"/>
          <w:color w:val="000000" w:themeColor="text1"/>
          <w:highlight w:val="none"/>
          <w14:textFill>
            <w14:solidFill>
              <w14:schemeClr w14:val="tx1"/>
            </w14:solidFill>
          </w14:textFill>
        </w:rPr>
        <w:t>第四章评</w:t>
      </w:r>
      <w:bookmarkEnd w:id="5"/>
      <w:r>
        <w:rPr>
          <w:rFonts w:hint="eastAsia"/>
          <w:color w:val="000000" w:themeColor="text1"/>
          <w:highlight w:val="none"/>
          <w14:textFill>
            <w14:solidFill>
              <w14:schemeClr w14:val="tx1"/>
            </w14:solidFill>
          </w14:textFill>
        </w:rPr>
        <w:t>审方法</w:t>
      </w:r>
    </w:p>
    <w:p>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最低评标价法</w:t>
      </w:r>
    </w:p>
    <w:p>
      <w:pPr>
        <w:tabs>
          <w:tab w:val="left" w:pos="1935"/>
        </w:tabs>
        <w:spacing w:line="400" w:lineRule="exact"/>
        <w:ind w:firstLine="420" w:firstLineChars="200"/>
        <w:rPr>
          <w:rFonts w:ascii="宋体" w:hAnsi="Courier New"/>
          <w:color w:val="000000" w:themeColor="text1"/>
          <w:szCs w:val="20"/>
          <w:highlight w:val="none"/>
          <w14:textFill>
            <w14:solidFill>
              <w14:schemeClr w14:val="tx1"/>
            </w14:solidFill>
          </w14:textFill>
        </w:rPr>
      </w:pPr>
    </w:p>
    <w:p>
      <w:pPr>
        <w:tabs>
          <w:tab w:val="left" w:pos="1935"/>
        </w:tabs>
        <w:spacing w:line="400" w:lineRule="exact"/>
        <w:ind w:firstLine="420" w:firstLineChars="200"/>
        <w:rPr>
          <w:rFonts w:hAnsi="宋体"/>
          <w:b/>
          <w:color w:val="000000" w:themeColor="text1"/>
          <w:sz w:val="32"/>
          <w:szCs w:val="32"/>
          <w:highlight w:val="none"/>
          <w14:textFill>
            <w14:solidFill>
              <w14:schemeClr w14:val="tx1"/>
            </w14:solidFill>
          </w14:textFill>
        </w:rPr>
      </w:pPr>
      <w:r>
        <w:rPr>
          <w:rFonts w:ascii="宋体" w:hAnsi="Courier New"/>
          <w:color w:val="000000" w:themeColor="text1"/>
          <w:szCs w:val="20"/>
          <w:highlight w:val="none"/>
          <w14:textFill>
            <w14:solidFill>
              <w14:schemeClr w14:val="tx1"/>
            </w14:solidFill>
          </w14:textFill>
        </w:rPr>
        <w:t>谈判小组以竞争性谈判采购文件为依据，对竞标文件进行评审，在全部满足竞争性谈判采购文件实质性要求和条件的前提下，按评标价由低到高排列成交候选供应商顺序（评标价相同时，依次按技术指标高优先、质量保证期长优先、</w:t>
      </w:r>
      <w:r>
        <w:rPr>
          <w:rFonts w:hint="eastAsia" w:ascii="宋体" w:hAnsi="Courier New"/>
          <w:color w:val="000000" w:themeColor="text1"/>
          <w:szCs w:val="20"/>
          <w:highlight w:val="none"/>
          <w14:textFill>
            <w14:solidFill>
              <w14:schemeClr w14:val="tx1"/>
            </w14:solidFill>
          </w14:textFill>
        </w:rPr>
        <w:t>处理问题响应</w:t>
      </w:r>
      <w:r>
        <w:rPr>
          <w:rFonts w:ascii="宋体" w:hAnsi="Courier New"/>
          <w:color w:val="000000" w:themeColor="text1"/>
          <w:szCs w:val="20"/>
          <w:highlight w:val="none"/>
          <w14:textFill>
            <w14:solidFill>
              <w14:schemeClr w14:val="tx1"/>
            </w14:solidFill>
          </w14:textFill>
        </w:rPr>
        <w:t>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w:t>
      </w:r>
      <w:r>
        <w:rPr>
          <w:rFonts w:hint="eastAsia" w:ascii="宋体" w:hAnsi="Courier New"/>
          <w:color w:val="000000" w:themeColor="text1"/>
          <w:szCs w:val="20"/>
          <w:highlight w:val="none"/>
          <w14:textFill>
            <w14:solidFill>
              <w14:schemeClr w14:val="tx1"/>
            </w14:solidFill>
          </w14:textFill>
        </w:rPr>
        <w:t>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p>
    <w:p>
      <w:pPr>
        <w:spacing w:beforeLines="50" w:afterLines="50" w:line="360" w:lineRule="exact"/>
        <w:ind w:firstLine="420" w:firstLineChars="200"/>
        <w:rPr>
          <w:rFonts w:ascii="宋体" w:hAnsi="宋体" w:cs="Courier New"/>
          <w:bCs/>
          <w:color w:val="auto"/>
          <w:szCs w:val="21"/>
          <w:highlight w:val="none"/>
        </w:rPr>
      </w:pPr>
      <w:r>
        <w:rPr>
          <w:rFonts w:ascii="宋体" w:hAnsi="宋体"/>
          <w:color w:val="000000" w:themeColor="text1"/>
          <w:szCs w:val="21"/>
          <w:highlight w:val="none"/>
          <w14:textFill>
            <w14:solidFill>
              <w14:schemeClr w14:val="tx1"/>
            </w14:solidFill>
          </w14:textFill>
        </w:rPr>
        <w:br w:type="page"/>
      </w:r>
    </w:p>
    <w:p>
      <w:pPr>
        <w:pStyle w:val="4"/>
        <w:jc w:val="center"/>
        <w:rPr>
          <w:color w:val="auto"/>
          <w:highlight w:val="none"/>
        </w:rPr>
      </w:pPr>
      <w:bookmarkStart w:id="6" w:name="_Toc393040191"/>
      <w:r>
        <w:rPr>
          <w:rFonts w:hint="eastAsia"/>
          <w:color w:val="auto"/>
          <w:highlight w:val="none"/>
        </w:rPr>
        <w:t>第五章响应文件格式</w:t>
      </w:r>
      <w:bookmarkEnd w:id="6"/>
    </w:p>
    <w:p>
      <w:pPr>
        <w:spacing w:line="240" w:lineRule="atLeast"/>
        <w:jc w:val="center"/>
        <w:rPr>
          <w:rFonts w:hint="eastAsia" w:ascii="宋体" w:hAnsi="宋体"/>
          <w:b/>
          <w:color w:val="auto"/>
          <w:sz w:val="44"/>
          <w:szCs w:val="44"/>
          <w:highlight w:val="none"/>
        </w:rPr>
      </w:pPr>
    </w:p>
    <w:p>
      <w:pPr>
        <w:spacing w:line="240" w:lineRule="atLeast"/>
        <w:jc w:val="center"/>
        <w:rPr>
          <w:rFonts w:hint="eastAsia" w:ascii="宋体" w:hAnsi="宋体"/>
          <w:b/>
          <w:color w:val="auto"/>
          <w:sz w:val="44"/>
          <w:szCs w:val="44"/>
          <w:highlight w:val="none"/>
        </w:rPr>
      </w:pPr>
    </w:p>
    <w:p>
      <w:pPr>
        <w:spacing w:line="240" w:lineRule="atLeast"/>
        <w:jc w:val="center"/>
        <w:rPr>
          <w:rFonts w:hint="eastAsia" w:ascii="宋体" w:hAnsi="宋体"/>
          <w:b/>
          <w:color w:val="auto"/>
          <w:sz w:val="44"/>
          <w:szCs w:val="44"/>
          <w:highlight w:val="none"/>
        </w:rPr>
      </w:pPr>
    </w:p>
    <w:p>
      <w:pPr>
        <w:spacing w:line="240" w:lineRule="atLeast"/>
        <w:jc w:val="center"/>
        <w:rPr>
          <w:rFonts w:ascii="宋体" w:hAnsi="宋体"/>
          <w:b/>
          <w:color w:val="auto"/>
          <w:sz w:val="32"/>
          <w:szCs w:val="32"/>
          <w:highlight w:val="none"/>
        </w:rPr>
      </w:pPr>
      <w:r>
        <w:rPr>
          <w:rFonts w:hint="eastAsia" w:ascii="宋体" w:hAnsi="宋体"/>
          <w:b/>
          <w:color w:val="auto"/>
          <w:sz w:val="44"/>
          <w:szCs w:val="44"/>
          <w:highlight w:val="none"/>
        </w:rPr>
        <w:t>响应文件</w:t>
      </w:r>
      <w:r>
        <w:rPr>
          <w:rFonts w:hint="eastAsia" w:ascii="宋体" w:hAnsi="宋体"/>
          <w:color w:val="auto"/>
          <w:szCs w:val="21"/>
          <w:highlight w:val="none"/>
        </w:rPr>
        <w:t>(封面）</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pPr>
        <w:tabs>
          <w:tab w:val="left" w:pos="3240"/>
        </w:tabs>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pPr>
        <w:tabs>
          <w:tab w:val="left" w:pos="2625"/>
        </w:tabs>
        <w:spacing w:line="360" w:lineRule="auto"/>
        <w:jc w:val="center"/>
        <w:rPr>
          <w:rFonts w:ascii="宋体" w:hAnsi="宋体"/>
          <w:color w:val="auto"/>
          <w:szCs w:val="21"/>
          <w:highlight w:val="none"/>
        </w:rPr>
      </w:pPr>
    </w:p>
    <w:p>
      <w:pPr>
        <w:tabs>
          <w:tab w:val="left" w:pos="2625"/>
        </w:tabs>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（供应商名称）</w:t>
      </w:r>
    </w:p>
    <w:p>
      <w:pPr>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    月    日</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附件一 </w:t>
      </w:r>
    </w:p>
    <w:p>
      <w:pPr>
        <w:spacing w:line="320" w:lineRule="exact"/>
        <w:rPr>
          <w:rFonts w:ascii="宋体" w:hAnsi="宋体"/>
          <w:color w:val="auto"/>
          <w:szCs w:val="21"/>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谈  判  书</w:t>
      </w:r>
    </w:p>
    <w:p>
      <w:pPr>
        <w:spacing w:line="320" w:lineRule="exact"/>
        <w:jc w:val="center"/>
        <w:rPr>
          <w:rFonts w:ascii="宋体" w:hAnsi="宋体"/>
          <w:b/>
          <w:color w:val="auto"/>
          <w:sz w:val="32"/>
          <w:szCs w:val="32"/>
          <w:highlight w:val="none"/>
        </w:rPr>
      </w:pPr>
    </w:p>
    <w:p>
      <w:pPr>
        <w:pStyle w:val="25"/>
        <w:spacing w:line="400" w:lineRule="exact"/>
        <w:rPr>
          <w:rFonts w:hAnsi="宋体"/>
          <w:color w:val="auto"/>
          <w:highlight w:val="none"/>
        </w:rPr>
      </w:pPr>
      <w:r>
        <w:rPr>
          <w:rFonts w:hint="eastAsia" w:hAnsi="宋体" w:cs="Times New Roman"/>
          <w:color w:val="auto"/>
          <w:highlight w:val="none"/>
        </w:rPr>
        <w:t>致____________(采购人)</w:t>
      </w:r>
      <w:r>
        <w:rPr>
          <w:rFonts w:hint="eastAsia" w:hAnsi="宋体"/>
          <w:color w:val="auto"/>
          <w:highlight w:val="none"/>
        </w:rPr>
        <w:t>：</w:t>
      </w:r>
    </w:p>
    <w:p>
      <w:pPr>
        <w:pStyle w:val="25"/>
        <w:spacing w:line="400" w:lineRule="exact"/>
        <w:ind w:firstLine="420" w:firstLineChars="200"/>
        <w:rPr>
          <w:rFonts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项目采购的谈判邀请，我方</w:t>
      </w:r>
      <w:r>
        <w:rPr>
          <w:rFonts w:hint="eastAsia" w:hAnsi="宋体"/>
          <w:color w:val="auto"/>
          <w:highlight w:val="none"/>
          <w:u w:val="single"/>
        </w:rPr>
        <w:t>（姓名和职务）</w:t>
      </w:r>
      <w:r>
        <w:rPr>
          <w:rFonts w:hint="eastAsia" w:hAnsi="宋体"/>
          <w:color w:val="auto"/>
          <w:highlight w:val="none"/>
        </w:rPr>
        <w:t>经正式授权并代表供应商</w:t>
      </w:r>
      <w:r>
        <w:rPr>
          <w:rFonts w:hint="eastAsia" w:hAnsi="宋体"/>
          <w:color w:val="auto"/>
          <w:highlight w:val="none"/>
          <w:u w:val="single"/>
        </w:rPr>
        <w:t>（供应商名称、地址）</w:t>
      </w:r>
      <w:r>
        <w:rPr>
          <w:rFonts w:hint="eastAsia" w:hAnsi="宋体"/>
          <w:color w:val="auto"/>
          <w:highlight w:val="none"/>
        </w:rPr>
        <w:t>提交下述响应文件正本一份，副本份，包含下列内容：</w:t>
      </w:r>
    </w:p>
    <w:p>
      <w:pPr>
        <w:pStyle w:val="25"/>
        <w:spacing w:line="400" w:lineRule="exact"/>
        <w:ind w:firstLine="480"/>
        <w:rPr>
          <w:rFonts w:hAnsi="宋体"/>
          <w:color w:val="auto"/>
          <w:highlight w:val="none"/>
        </w:rPr>
      </w:pPr>
      <w:r>
        <w:rPr>
          <w:rFonts w:hint="eastAsia" w:hAnsi="宋体"/>
          <w:color w:val="auto"/>
          <w:highlight w:val="none"/>
        </w:rPr>
        <w:t>1. 报价表；</w:t>
      </w:r>
    </w:p>
    <w:p>
      <w:pPr>
        <w:pStyle w:val="25"/>
        <w:spacing w:line="400" w:lineRule="exact"/>
        <w:ind w:firstLine="480"/>
        <w:rPr>
          <w:rFonts w:hAnsi="宋体"/>
          <w:color w:val="auto"/>
          <w:highlight w:val="none"/>
        </w:rPr>
      </w:pPr>
      <w:r>
        <w:rPr>
          <w:rFonts w:hint="eastAsia" w:hAnsi="宋体"/>
          <w:color w:val="auto"/>
          <w:highlight w:val="none"/>
        </w:rPr>
        <w:t>2. 服务响应偏离情况说明表；</w:t>
      </w:r>
    </w:p>
    <w:p>
      <w:pPr>
        <w:pStyle w:val="25"/>
        <w:spacing w:line="400" w:lineRule="exact"/>
        <w:ind w:firstLine="480"/>
        <w:rPr>
          <w:rFonts w:hAnsi="宋体"/>
          <w:color w:val="auto"/>
          <w:highlight w:val="none"/>
        </w:rPr>
      </w:pPr>
      <w:r>
        <w:rPr>
          <w:rFonts w:hint="eastAsia" w:hAnsi="宋体"/>
          <w:color w:val="auto"/>
          <w:highlight w:val="none"/>
        </w:rPr>
        <w:t>3. 投入设备响应表；</w:t>
      </w:r>
    </w:p>
    <w:p>
      <w:pPr>
        <w:pStyle w:val="25"/>
        <w:spacing w:line="400" w:lineRule="exact"/>
        <w:ind w:firstLine="480"/>
        <w:rPr>
          <w:rFonts w:hAnsi="宋体"/>
          <w:color w:val="auto"/>
          <w:highlight w:val="none"/>
        </w:rPr>
      </w:pPr>
      <w:r>
        <w:rPr>
          <w:rFonts w:hint="eastAsia" w:hAnsi="宋体"/>
          <w:color w:val="auto"/>
          <w:highlight w:val="none"/>
        </w:rPr>
        <w:t>4. 技术支持和服务方案；</w:t>
      </w:r>
    </w:p>
    <w:p>
      <w:pPr>
        <w:pStyle w:val="25"/>
        <w:spacing w:line="400" w:lineRule="exact"/>
        <w:ind w:firstLine="480"/>
        <w:rPr>
          <w:rFonts w:hAnsi="宋体"/>
          <w:color w:val="auto"/>
          <w:highlight w:val="none"/>
        </w:rPr>
      </w:pPr>
      <w:r>
        <w:rPr>
          <w:rFonts w:hint="eastAsia" w:hAnsi="宋体"/>
          <w:color w:val="auto"/>
          <w:highlight w:val="none"/>
        </w:rPr>
        <w:t>5. 按谈判采购文件供应商须知和服务需求及要求提供的有关文件；</w:t>
      </w:r>
    </w:p>
    <w:p>
      <w:pPr>
        <w:pStyle w:val="25"/>
        <w:spacing w:line="400" w:lineRule="exact"/>
        <w:ind w:firstLine="480"/>
        <w:rPr>
          <w:rFonts w:hAnsi="宋体"/>
          <w:color w:val="auto"/>
          <w:highlight w:val="none"/>
        </w:rPr>
      </w:pPr>
      <w:r>
        <w:rPr>
          <w:rFonts w:hint="eastAsia" w:hAnsi="宋体"/>
          <w:color w:val="auto"/>
          <w:highlight w:val="none"/>
        </w:rPr>
        <w:t>6. 资格证明文件；</w:t>
      </w:r>
    </w:p>
    <w:p>
      <w:pPr>
        <w:pStyle w:val="25"/>
        <w:spacing w:line="400" w:lineRule="exact"/>
        <w:ind w:firstLine="420" w:firstLineChars="200"/>
        <w:rPr>
          <w:rFonts w:hAnsi="宋体"/>
          <w:color w:val="auto"/>
          <w:highlight w:val="none"/>
        </w:rPr>
      </w:pPr>
      <w:r>
        <w:rPr>
          <w:rFonts w:hint="eastAsia" w:hAnsi="宋体"/>
          <w:color w:val="auto"/>
          <w:highlight w:val="none"/>
        </w:rPr>
        <w:t>在此，授权代表宣布同意如下：</w:t>
      </w:r>
    </w:p>
    <w:p>
      <w:pPr>
        <w:pStyle w:val="25"/>
        <w:spacing w:line="400" w:lineRule="exact"/>
        <w:ind w:firstLine="420" w:firstLineChars="200"/>
        <w:rPr>
          <w:rFonts w:hAnsi="宋体"/>
          <w:color w:val="auto"/>
          <w:highlight w:val="none"/>
        </w:rPr>
      </w:pPr>
      <w:r>
        <w:rPr>
          <w:rFonts w:hint="eastAsia" w:hAnsi="宋体"/>
          <w:color w:val="auto"/>
          <w:highlight w:val="none"/>
        </w:rPr>
        <w:t>1.响应文件有效期：；</w:t>
      </w:r>
    </w:p>
    <w:p>
      <w:pPr>
        <w:pStyle w:val="25"/>
        <w:spacing w:line="400" w:lineRule="exact"/>
        <w:ind w:firstLine="420" w:firstLineChars="200"/>
        <w:rPr>
          <w:rFonts w:hAnsi="宋体"/>
          <w:color w:val="auto"/>
          <w:highlight w:val="none"/>
        </w:rPr>
      </w:pPr>
      <w:r>
        <w:rPr>
          <w:rFonts w:hint="eastAsia" w:hAnsi="宋体"/>
          <w:color w:val="auto"/>
          <w:highlight w:val="none"/>
        </w:rPr>
        <w:t>2. 将按谈判采购文件的约定履行合同责任和义务；</w:t>
      </w:r>
    </w:p>
    <w:p>
      <w:pPr>
        <w:pStyle w:val="25"/>
        <w:spacing w:line="400" w:lineRule="exact"/>
        <w:ind w:firstLine="420" w:firstLineChars="200"/>
        <w:rPr>
          <w:rFonts w:hAnsi="宋体"/>
          <w:color w:val="auto"/>
          <w:highlight w:val="none"/>
        </w:rPr>
      </w:pPr>
      <w:r>
        <w:rPr>
          <w:rFonts w:hint="eastAsia" w:hAnsi="宋体"/>
          <w:color w:val="auto"/>
          <w:highlight w:val="none"/>
        </w:rPr>
        <w:t>3. 已详细审查全部谈判采购文件，包括</w:t>
      </w:r>
      <w:r>
        <w:rPr>
          <w:rFonts w:hint="eastAsia" w:hAnsi="宋体"/>
          <w:color w:val="auto"/>
          <w:highlight w:val="none"/>
          <w:u w:val="single"/>
        </w:rPr>
        <w:t>（补遗文件）（如果有的话）</w:t>
      </w:r>
      <w:r>
        <w:rPr>
          <w:rFonts w:hint="eastAsia" w:hAnsi="宋体"/>
          <w:color w:val="auto"/>
          <w:highlight w:val="none"/>
        </w:rPr>
        <w:t>；我们完全理解并同意放弃对这方面有不明及误解的权力；</w:t>
      </w:r>
    </w:p>
    <w:p>
      <w:pPr>
        <w:pStyle w:val="25"/>
        <w:spacing w:line="400" w:lineRule="exact"/>
        <w:ind w:firstLine="420" w:firstLineChars="200"/>
        <w:rPr>
          <w:rFonts w:hAnsi="宋体"/>
          <w:color w:val="auto"/>
          <w:highlight w:val="none"/>
        </w:rPr>
      </w:pPr>
      <w:r>
        <w:rPr>
          <w:rFonts w:hint="eastAsia" w:hAnsi="宋体"/>
          <w:color w:val="auto"/>
          <w:highlight w:val="none"/>
        </w:rPr>
        <w:t>4. 同意提供按照贵方可能要求的与其谈判有关的一切数据或资料；</w:t>
      </w:r>
    </w:p>
    <w:p>
      <w:pPr>
        <w:pStyle w:val="25"/>
        <w:spacing w:line="400" w:lineRule="exact"/>
        <w:ind w:firstLine="420" w:firstLineChars="200"/>
        <w:rPr>
          <w:rFonts w:hAnsi="宋体"/>
          <w:color w:val="auto"/>
          <w:highlight w:val="none"/>
        </w:rPr>
      </w:pPr>
      <w:r>
        <w:rPr>
          <w:rFonts w:hint="eastAsia" w:hAnsi="宋体"/>
          <w:color w:val="auto"/>
          <w:highlight w:val="none"/>
        </w:rPr>
        <w:t>5. 与本谈判有关的一切正式往来信函请寄：邮政编号：</w:t>
      </w:r>
    </w:p>
    <w:p>
      <w:pPr>
        <w:pStyle w:val="25"/>
        <w:spacing w:line="400" w:lineRule="exact"/>
        <w:ind w:firstLine="840"/>
        <w:rPr>
          <w:rFonts w:hAnsi="宋体"/>
          <w:color w:val="auto"/>
          <w:highlight w:val="none"/>
        </w:rPr>
      </w:pPr>
      <w:r>
        <w:rPr>
          <w:rFonts w:hint="eastAsia" w:hAnsi="宋体"/>
          <w:color w:val="auto"/>
          <w:highlight w:val="none"/>
        </w:rPr>
        <w:t>电话/传真： 电子函件：</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u w:val="single"/>
        </w:rPr>
      </w:pPr>
      <w:r>
        <w:rPr>
          <w:rFonts w:hint="eastAsia" w:hAnsi="宋体"/>
          <w:color w:val="auto"/>
          <w:highlight w:val="none"/>
        </w:rPr>
        <w:t>法定代表人或被授权人签字：</w:t>
      </w:r>
    </w:p>
    <w:p>
      <w:pPr>
        <w:pStyle w:val="25"/>
        <w:spacing w:line="400" w:lineRule="exact"/>
        <w:ind w:firstLine="840"/>
        <w:rPr>
          <w:rFonts w:hAnsi="宋体"/>
          <w:color w:val="auto"/>
          <w:highlight w:val="none"/>
        </w:rPr>
      </w:pPr>
      <w:r>
        <w:rPr>
          <w:rFonts w:hint="eastAsia" w:hAnsi="宋体"/>
          <w:color w:val="auto"/>
          <w:highlight w:val="none"/>
        </w:rPr>
        <w:t>供应商名称（公章）：</w:t>
      </w:r>
    </w:p>
    <w:p>
      <w:pPr>
        <w:pStyle w:val="25"/>
        <w:spacing w:line="400" w:lineRule="exact"/>
        <w:ind w:firstLine="840"/>
        <w:rPr>
          <w:rFonts w:hAnsi="宋体"/>
          <w:color w:val="auto"/>
          <w:highlight w:val="none"/>
          <w:u w:val="single"/>
        </w:rPr>
      </w:pPr>
      <w:r>
        <w:rPr>
          <w:rFonts w:hint="eastAsia" w:hAnsi="宋体"/>
          <w:color w:val="auto"/>
          <w:highlight w:val="none"/>
        </w:rPr>
        <w:t>日期：     年  月  日</w:t>
      </w:r>
    </w:p>
    <w:p>
      <w:pPr>
        <w:pStyle w:val="25"/>
        <w:spacing w:line="400" w:lineRule="exact"/>
        <w:ind w:firstLine="840"/>
        <w:rPr>
          <w:rFonts w:hAnsi="宋体"/>
          <w:color w:val="auto"/>
          <w:highlight w:val="none"/>
        </w:rPr>
      </w:pPr>
    </w:p>
    <w:p>
      <w:pPr>
        <w:pStyle w:val="25"/>
        <w:spacing w:line="400" w:lineRule="exact"/>
        <w:ind w:firstLine="840"/>
        <w:rPr>
          <w:rFonts w:hAnsi="宋体"/>
          <w:color w:val="auto"/>
          <w:highlight w:val="none"/>
        </w:rPr>
      </w:pPr>
      <w:r>
        <w:rPr>
          <w:rFonts w:hint="eastAsia" w:hAnsi="宋体"/>
          <w:color w:val="auto"/>
          <w:highlight w:val="none"/>
        </w:rPr>
        <w:t>开户银行：帐号/行号：</w:t>
      </w: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color w:val="auto"/>
          <w:szCs w:val="21"/>
          <w:highlight w:val="none"/>
        </w:rPr>
      </w:pPr>
    </w:p>
    <w:p>
      <w:pPr>
        <w:spacing w:line="360" w:lineRule="exact"/>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附件二             </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报  价  表</w:t>
      </w:r>
    </w:p>
    <w:p>
      <w:pPr>
        <w:spacing w:line="300" w:lineRule="auto"/>
        <w:rPr>
          <w:rFonts w:ascii="宋体" w:hAnsi="宋体"/>
          <w:color w:val="auto"/>
          <w:szCs w:val="21"/>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采购项目编号:</w:t>
      </w:r>
    </w:p>
    <w:p>
      <w:pPr>
        <w:spacing w:line="400" w:lineRule="exact"/>
        <w:rPr>
          <w:rFonts w:ascii="宋体" w:hAnsi="宋体"/>
          <w:color w:val="auto"/>
          <w:szCs w:val="21"/>
          <w:highlight w:val="none"/>
        </w:rPr>
      </w:pPr>
      <w:r>
        <w:rPr>
          <w:rFonts w:hint="eastAsia" w:ascii="宋体" w:hAnsi="宋体"/>
          <w:color w:val="auto"/>
          <w:szCs w:val="21"/>
          <w:highlight w:val="none"/>
        </w:rPr>
        <w:t>采购项目名称:</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r>
        <w:rPr>
          <w:rFonts w:hint="eastAsia"/>
          <w:color w:val="auto"/>
          <w:highlight w:val="none"/>
          <w:u w:val="single"/>
        </w:rPr>
        <w:t>　　</w:t>
      </w:r>
      <w:r>
        <w:rPr>
          <w:rFonts w:hint="eastAsia"/>
          <w:color w:val="auto"/>
          <w:highlight w:val="none"/>
        </w:rPr>
        <w:t>分标（有分标时填写）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7"/>
        <w:gridCol w:w="2987"/>
        <w:gridCol w:w="1030"/>
        <w:gridCol w:w="40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298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名称</w:t>
            </w: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
                <w:color w:val="auto"/>
                <w:szCs w:val="21"/>
                <w:highlight w:val="none"/>
              </w:rPr>
            </w:pPr>
            <w:r>
              <w:rPr>
                <w:rFonts w:hint="eastAsia" w:ascii="宋体" w:hAnsi="宋体"/>
                <w:b/>
                <w:color w:val="auto"/>
                <w:szCs w:val="21"/>
                <w:highlight w:val="none"/>
              </w:rPr>
              <w:t>投标报价（元）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9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0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0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color w:val="auto"/>
                <w:szCs w:val="21"/>
                <w:highlight w:val="none"/>
              </w:rPr>
            </w:pPr>
            <w:r>
              <w:rPr>
                <w:rFonts w:hint="eastAsia" w:ascii="宋体" w:hAnsi="宋体"/>
                <w:color w:val="auto"/>
                <w:szCs w:val="21"/>
                <w:highlight w:val="none"/>
              </w:rPr>
              <w:t>服务期：</w:t>
            </w:r>
          </w:p>
        </w:tc>
      </w:tr>
    </w:tbl>
    <w:p>
      <w:pPr>
        <w:pStyle w:val="25"/>
        <w:rPr>
          <w:b/>
          <w:color w:val="auto"/>
          <w:highlight w:val="none"/>
        </w:rPr>
      </w:pPr>
    </w:p>
    <w:p>
      <w:pPr>
        <w:pStyle w:val="25"/>
        <w:spacing w:line="400" w:lineRule="exact"/>
        <w:rPr>
          <w:rFonts w:hAnsi="宋体"/>
          <w:color w:val="auto"/>
          <w:highlight w:val="none"/>
        </w:rPr>
      </w:pPr>
      <w:bookmarkStart w:id="7" w:name="_Toc356165644"/>
      <w:bookmarkStart w:id="8" w:name="_Toc356979893"/>
    </w:p>
    <w:p>
      <w:pPr>
        <w:pStyle w:val="25"/>
        <w:rPr>
          <w:color w:val="auto"/>
          <w:highlight w:val="none"/>
        </w:rPr>
      </w:pPr>
      <w:r>
        <w:rPr>
          <w:rFonts w:hint="eastAsia"/>
          <w:color w:val="auto"/>
          <w:highlight w:val="none"/>
        </w:rPr>
        <w:t>......</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法定代表人或委托代理人签字：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日 期：</w:t>
      </w:r>
    </w:p>
    <w:p>
      <w:pPr>
        <w:rPr>
          <w:color w:val="auto"/>
          <w:highlight w:val="none"/>
        </w:rPr>
      </w:pPr>
    </w:p>
    <w:p>
      <w:pPr>
        <w:rPr>
          <w:color w:val="auto"/>
          <w:highlight w:val="none"/>
        </w:rPr>
      </w:pPr>
    </w:p>
    <w:p>
      <w:pPr>
        <w:rPr>
          <w:color w:val="auto"/>
          <w:highlight w:val="none"/>
        </w:rPr>
      </w:pPr>
    </w:p>
    <w:p>
      <w:pPr>
        <w:rPr>
          <w:color w:val="auto"/>
          <w:highlight w:val="none"/>
        </w:rPr>
      </w:pPr>
    </w:p>
    <w:bookmarkEnd w:id="7"/>
    <w:bookmarkEnd w:id="8"/>
    <w:p>
      <w:pPr>
        <w:spacing w:line="300" w:lineRule="auto"/>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附件三</w:t>
      </w: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服务响应偏离情况说明表</w:t>
      </w:r>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pStyle w:val="25"/>
        <w:spacing w:line="600" w:lineRule="exact"/>
        <w:rPr>
          <w:rFonts w:hAnsi="宋体"/>
          <w:color w:val="auto"/>
          <w:highlight w:val="none"/>
        </w:rPr>
      </w:pPr>
      <w:r>
        <w:rPr>
          <w:rFonts w:hint="eastAsia" w:hAnsi="宋体"/>
          <w:color w:val="auto"/>
          <w:highlight w:val="none"/>
        </w:rPr>
        <w:t>采购项目名称:</w:t>
      </w: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16"/>
        <w:gridCol w:w="2256"/>
        <w:gridCol w:w="2256"/>
        <w:gridCol w:w="118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31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服务名称</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服务要求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5"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pPr>
              <w:pStyle w:val="25"/>
              <w:spacing w:line="360" w:lineRule="auto"/>
              <w:jc w:val="center"/>
              <w:rPr>
                <w:rFonts w:hAnsi="宋体" w:cs="Times New Roman"/>
                <w:color w:val="auto"/>
                <w:highlight w:val="none"/>
              </w:rPr>
            </w:pPr>
          </w:p>
        </w:tc>
        <w:tc>
          <w:tcPr>
            <w:tcW w:w="131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5" w:type="dxa"/>
            <w:vAlign w:val="center"/>
          </w:tcPr>
          <w:p>
            <w:pPr>
              <w:pStyle w:val="25"/>
              <w:spacing w:line="360" w:lineRule="auto"/>
              <w:jc w:val="center"/>
              <w:rPr>
                <w:rFonts w:hAnsi="宋体" w:cs="MingLiU_HKSCS"/>
                <w:color w:val="auto"/>
                <w:highlight w:val="none"/>
              </w:rPr>
            </w:pPr>
          </w:p>
        </w:tc>
      </w:tr>
    </w:tbl>
    <w:p>
      <w:pPr>
        <w:pStyle w:val="25"/>
        <w:spacing w:line="400" w:lineRule="exact"/>
        <w:rPr>
          <w:rFonts w:hint="eastAsia" w:eastAsia="宋体"/>
          <w:color w:val="auto"/>
          <w:highlight w:val="none"/>
          <w:lang w:eastAsia="zh-CN"/>
        </w:rPr>
      </w:pPr>
      <w:r>
        <w:rPr>
          <w:rFonts w:hint="eastAsia" w:hAnsi="宋体"/>
          <w:color w:val="auto"/>
          <w:highlight w:val="none"/>
        </w:rPr>
        <w:t>说明：应对照谈判采购文件“第三章 项目需求”，逐条说明所提供货物或服务已对谈判采购文件的技术需求做出了实质性的响应，并申明与技术需求条文的响应和偏离</w:t>
      </w:r>
      <w:r>
        <w:rPr>
          <w:rFonts w:hint="eastAsia" w:hAnsi="宋体"/>
          <w:color w:val="auto"/>
          <w:highlight w:val="none"/>
          <w:lang w:eastAsia="zh-CN"/>
        </w:rPr>
        <w:t>，否则竞标无效。</w:t>
      </w:r>
    </w:p>
    <w:p>
      <w:pPr>
        <w:pStyle w:val="25"/>
        <w:spacing w:line="400" w:lineRule="exact"/>
        <w:rPr>
          <w:rFonts w:hAnsi="宋体"/>
          <w:color w:val="auto"/>
          <w:highlight w:val="none"/>
        </w:rPr>
      </w:pPr>
    </w:p>
    <w:p>
      <w:pPr>
        <w:pStyle w:val="25"/>
        <w:spacing w:line="600" w:lineRule="exact"/>
        <w:rPr>
          <w:rFonts w:ascii="Times New Roman" w:hAnsi="Times New Roman"/>
          <w:color w:val="auto"/>
          <w:highlight w:val="none"/>
        </w:rPr>
      </w:pPr>
      <w:r>
        <w:rPr>
          <w:rFonts w:hint="eastAsia" w:ascii="Times New Roman" w:hAnsi="Times New Roman"/>
          <w:color w:val="auto"/>
          <w:highlight w:val="none"/>
          <w:u w:val="single"/>
        </w:rPr>
        <w:t>　　</w:t>
      </w:r>
      <w:r>
        <w:rPr>
          <w:rFonts w:hint="eastAsia" w:ascii="Times New Roman" w:hAnsi="Times New Roman"/>
          <w:color w:val="auto"/>
          <w:highlight w:val="none"/>
        </w:rPr>
        <w:t>分标</w:t>
      </w:r>
      <w:r>
        <w:rPr>
          <w:rFonts w:hint="eastAsia"/>
          <w:color w:val="auto"/>
          <w:highlight w:val="none"/>
        </w:rPr>
        <w:t>（有分标时填写）</w:t>
      </w:r>
    </w:p>
    <w:p>
      <w:pPr>
        <w:pStyle w:val="25"/>
        <w:rPr>
          <w:color w:val="auto"/>
          <w:highlight w:val="none"/>
        </w:rPr>
      </w:pPr>
      <w:r>
        <w:rPr>
          <w:rFonts w:hint="eastAsia"/>
          <w:color w:val="auto"/>
          <w:highlight w:val="none"/>
        </w:rPr>
        <w:t>......</w:t>
      </w:r>
    </w:p>
    <w:p>
      <w:pPr>
        <w:pStyle w:val="25"/>
        <w:spacing w:line="360" w:lineRule="auto"/>
        <w:rPr>
          <w:rFonts w:hAnsi="宋体" w:cs="Times New Roman"/>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pStyle w:val="25"/>
        <w:spacing w:line="400" w:lineRule="exact"/>
        <w:rPr>
          <w:rFonts w:hAnsi="宋体"/>
          <w:color w:val="auto"/>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b/>
          <w:color w:val="auto"/>
          <w:szCs w:val="21"/>
          <w:highlight w:val="none"/>
        </w:rPr>
      </w:pPr>
      <w:r>
        <w:rPr>
          <w:rFonts w:ascii="宋体" w:hAnsi="宋体"/>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附件四：</w:t>
      </w:r>
    </w:p>
    <w:p>
      <w:pPr>
        <w:spacing w:line="300" w:lineRule="auto"/>
        <w:rPr>
          <w:rFonts w:ascii="宋体" w:hAnsi="宋体"/>
          <w:b/>
          <w:color w:val="auto"/>
          <w:szCs w:val="21"/>
          <w:highlight w:val="none"/>
        </w:rPr>
      </w:pP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投入设备响应表</w:t>
      </w:r>
    </w:p>
    <w:p>
      <w:pPr>
        <w:spacing w:line="300" w:lineRule="auto"/>
        <w:rPr>
          <w:rFonts w:ascii="宋体" w:hAnsi="宋体"/>
          <w:color w:val="auto"/>
          <w:szCs w:val="21"/>
          <w:highlight w:val="none"/>
        </w:rPr>
      </w:pPr>
    </w:p>
    <w:p>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pPr>
        <w:spacing w:line="300" w:lineRule="auto"/>
        <w:rPr>
          <w:rFonts w:ascii="宋体" w:hAnsi="宋体"/>
          <w:color w:val="auto"/>
          <w:szCs w:val="21"/>
          <w:highlight w:val="none"/>
        </w:rPr>
      </w:pPr>
      <w:r>
        <w:rPr>
          <w:rFonts w:hint="eastAsia" w:ascii="宋体" w:hAnsi="宋体"/>
          <w:color w:val="auto"/>
          <w:szCs w:val="21"/>
          <w:highlight w:val="none"/>
        </w:rPr>
        <w:t>采购项目名称:</w:t>
      </w:r>
    </w:p>
    <w:tbl>
      <w:tblPr>
        <w:tblStyle w:val="4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76"/>
        <w:gridCol w:w="1896"/>
        <w:gridCol w:w="2256"/>
        <w:gridCol w:w="118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项号</w:t>
            </w:r>
          </w:p>
        </w:tc>
        <w:tc>
          <w:tcPr>
            <w:tcW w:w="167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投入设备名称</w:t>
            </w:r>
          </w:p>
        </w:tc>
        <w:tc>
          <w:tcPr>
            <w:tcW w:w="189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采购文件要求</w:t>
            </w:r>
          </w:p>
        </w:tc>
        <w:tc>
          <w:tcPr>
            <w:tcW w:w="2256"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竞标响应情况</w:t>
            </w:r>
          </w:p>
        </w:tc>
        <w:tc>
          <w:tcPr>
            <w:tcW w:w="1188"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偏离</w:t>
            </w:r>
          </w:p>
        </w:tc>
        <w:tc>
          <w:tcPr>
            <w:tcW w:w="1143" w:type="dxa"/>
            <w:vAlign w:val="center"/>
          </w:tcPr>
          <w:p>
            <w:pPr>
              <w:pStyle w:val="25"/>
              <w:spacing w:line="360" w:lineRule="auto"/>
              <w:jc w:val="center"/>
              <w:rPr>
                <w:rFonts w:hAnsi="宋体" w:cs="Times New Roman"/>
                <w:color w:val="auto"/>
                <w:highlight w:val="none"/>
              </w:rPr>
            </w:pPr>
            <w:r>
              <w:rPr>
                <w:rFonts w:hint="eastAsia" w:hAnsi="宋体"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vAlign w:val="center"/>
          </w:tcPr>
          <w:p>
            <w:pPr>
              <w:pStyle w:val="25"/>
              <w:spacing w:line="360" w:lineRule="auto"/>
              <w:jc w:val="center"/>
              <w:rPr>
                <w:rFonts w:hAnsi="宋体" w:cs="Times New Roman"/>
                <w:color w:val="auto"/>
                <w:highlight w:val="none"/>
              </w:rPr>
            </w:pPr>
          </w:p>
        </w:tc>
        <w:tc>
          <w:tcPr>
            <w:tcW w:w="1676" w:type="dxa"/>
            <w:vAlign w:val="center"/>
          </w:tcPr>
          <w:p>
            <w:pPr>
              <w:pStyle w:val="25"/>
              <w:spacing w:line="360" w:lineRule="auto"/>
              <w:jc w:val="center"/>
              <w:rPr>
                <w:rFonts w:hAnsi="宋体" w:cs="Times New Roman"/>
                <w:color w:val="auto"/>
                <w:highlight w:val="none"/>
              </w:rPr>
            </w:pPr>
          </w:p>
        </w:tc>
        <w:tc>
          <w:tcPr>
            <w:tcW w:w="1896" w:type="dxa"/>
            <w:vAlign w:val="center"/>
          </w:tcPr>
          <w:p>
            <w:pPr>
              <w:pStyle w:val="25"/>
              <w:spacing w:line="360" w:lineRule="auto"/>
              <w:jc w:val="center"/>
              <w:rPr>
                <w:rFonts w:hAnsi="宋体" w:cs="Times New Roman"/>
                <w:color w:val="auto"/>
                <w:highlight w:val="none"/>
              </w:rPr>
            </w:pPr>
          </w:p>
        </w:tc>
        <w:tc>
          <w:tcPr>
            <w:tcW w:w="2256" w:type="dxa"/>
            <w:vAlign w:val="center"/>
          </w:tcPr>
          <w:p>
            <w:pPr>
              <w:pStyle w:val="25"/>
              <w:spacing w:line="360" w:lineRule="auto"/>
              <w:jc w:val="center"/>
              <w:rPr>
                <w:rFonts w:hAnsi="宋体" w:cs="Times New Roman"/>
                <w:color w:val="auto"/>
                <w:highlight w:val="none"/>
              </w:rPr>
            </w:pPr>
          </w:p>
        </w:tc>
        <w:tc>
          <w:tcPr>
            <w:tcW w:w="1188" w:type="dxa"/>
            <w:vAlign w:val="center"/>
          </w:tcPr>
          <w:p>
            <w:pPr>
              <w:pStyle w:val="25"/>
              <w:spacing w:line="360" w:lineRule="auto"/>
              <w:jc w:val="center"/>
              <w:rPr>
                <w:rFonts w:hAnsi="宋体" w:cs="Times New Roman"/>
                <w:color w:val="auto"/>
                <w:highlight w:val="none"/>
              </w:rPr>
            </w:pPr>
          </w:p>
        </w:tc>
        <w:tc>
          <w:tcPr>
            <w:tcW w:w="1143" w:type="dxa"/>
            <w:vAlign w:val="center"/>
          </w:tcPr>
          <w:p>
            <w:pPr>
              <w:pStyle w:val="25"/>
              <w:spacing w:line="360" w:lineRule="auto"/>
              <w:jc w:val="center"/>
              <w:rPr>
                <w:rFonts w:hAnsi="宋体" w:cs="MingLiU_HKSCS"/>
                <w:color w:val="auto"/>
                <w:highlight w:val="none"/>
              </w:rPr>
            </w:pPr>
          </w:p>
        </w:tc>
      </w:tr>
    </w:tbl>
    <w:p>
      <w:pPr>
        <w:pStyle w:val="25"/>
        <w:rPr>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300" w:lineRule="auto"/>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法定代表人或被授权人（签字）:</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供应商名称（公章）：</w:t>
      </w:r>
    </w:p>
    <w:p>
      <w:pPr>
        <w:pStyle w:val="25"/>
        <w:spacing w:line="400" w:lineRule="exact"/>
        <w:rPr>
          <w:rFonts w:hAnsi="宋体"/>
          <w:color w:val="auto"/>
          <w:highlight w:val="none"/>
        </w:rPr>
      </w:pPr>
    </w:p>
    <w:p>
      <w:pPr>
        <w:pStyle w:val="25"/>
        <w:spacing w:line="400" w:lineRule="exact"/>
        <w:rPr>
          <w:rFonts w:hAnsi="宋体"/>
          <w:color w:val="auto"/>
          <w:highlight w:val="none"/>
        </w:rPr>
      </w:pPr>
      <w:r>
        <w:rPr>
          <w:rFonts w:hint="eastAsia" w:hAnsi="宋体"/>
          <w:color w:val="auto"/>
          <w:highlight w:val="none"/>
        </w:rPr>
        <w:t xml:space="preserve">日  期：      年   月   日 </w:t>
      </w:r>
    </w:p>
    <w:p>
      <w:pPr>
        <w:spacing w:line="300" w:lineRule="auto"/>
        <w:jc w:val="center"/>
        <w:rPr>
          <w:rFonts w:ascii="宋体" w:hAnsi="宋体"/>
          <w:color w:val="auto"/>
          <w:szCs w:val="21"/>
          <w:highlight w:val="none"/>
          <w:u w:val="single"/>
        </w:rPr>
      </w:pPr>
      <w:r>
        <w:rPr>
          <w:rFonts w:ascii="宋体" w:hAnsi="宋体"/>
          <w:color w:val="auto"/>
          <w:szCs w:val="21"/>
          <w:highlight w:val="none"/>
        </w:rPr>
        <w:br w:type="page"/>
      </w:r>
      <w:r>
        <w:rPr>
          <w:rFonts w:ascii="宋体" w:hAnsi="宋体"/>
          <w:b/>
          <w:color w:val="auto"/>
          <w:sz w:val="32"/>
          <w:szCs w:val="32"/>
          <w:highlight w:val="none"/>
        </w:rPr>
        <w:t>服务承诺</w:t>
      </w:r>
    </w:p>
    <w:p>
      <w:pPr>
        <w:spacing w:line="300" w:lineRule="auto"/>
        <w:jc w:val="center"/>
        <w:rPr>
          <w:rFonts w:ascii="宋体" w:hAnsi="宋体"/>
          <w:b/>
          <w:color w:val="auto"/>
          <w:szCs w:val="21"/>
          <w:highlight w:val="none"/>
        </w:rPr>
      </w:pPr>
      <w:r>
        <w:rPr>
          <w:rFonts w:hint="eastAsia" w:ascii="宋体" w:hAnsi="宋体"/>
          <w:color w:val="auto"/>
          <w:szCs w:val="21"/>
          <w:highlight w:val="none"/>
        </w:rPr>
        <w:t>（请结合第三章“项目需求”中的服务内容要求及承诺内容要求自行编写）</w:t>
      </w:r>
    </w:p>
    <w:p>
      <w:pPr>
        <w:spacing w:line="300" w:lineRule="auto"/>
        <w:rPr>
          <w:rFonts w:ascii="宋体" w:hAnsi="宋体"/>
          <w:b/>
          <w:color w:val="auto"/>
          <w:szCs w:val="21"/>
          <w:highlight w:val="none"/>
        </w:rPr>
      </w:pPr>
      <w:r>
        <w:rPr>
          <w:rFonts w:ascii="宋体" w:hAnsi="宋体"/>
          <w:b/>
          <w:color w:val="auto"/>
          <w:szCs w:val="21"/>
          <w:highlight w:val="none"/>
        </w:rPr>
        <w:br w:type="page"/>
      </w:r>
    </w:p>
    <w:p>
      <w:pPr>
        <w:spacing w:line="300" w:lineRule="auto"/>
        <w:rPr>
          <w:rFonts w:ascii="宋体" w:hAnsi="宋体"/>
          <w:b/>
          <w:color w:val="auto"/>
          <w:szCs w:val="21"/>
          <w:highlight w:val="none"/>
        </w:rPr>
      </w:pPr>
      <w:r>
        <w:rPr>
          <w:rFonts w:hint="eastAsia" w:ascii="宋体" w:hAnsi="宋体"/>
          <w:b/>
          <w:color w:val="auto"/>
          <w:szCs w:val="21"/>
          <w:highlight w:val="none"/>
        </w:rPr>
        <w:t>附件五</w:t>
      </w:r>
    </w:p>
    <w:p>
      <w:pPr>
        <w:pStyle w:val="25"/>
        <w:spacing w:line="440" w:lineRule="exact"/>
        <w:jc w:val="center"/>
        <w:rPr>
          <w:b/>
          <w:color w:val="auto"/>
          <w:sz w:val="32"/>
          <w:szCs w:val="32"/>
          <w:highlight w:val="none"/>
        </w:rPr>
      </w:pPr>
      <w:r>
        <w:rPr>
          <w:rFonts w:hint="eastAsia"/>
          <w:b/>
          <w:color w:val="auto"/>
          <w:sz w:val="32"/>
          <w:szCs w:val="32"/>
          <w:highlight w:val="none"/>
        </w:rPr>
        <w:t>法定代表人身份证明书</w:t>
      </w:r>
    </w:p>
    <w:p>
      <w:pPr>
        <w:pStyle w:val="25"/>
        <w:spacing w:line="460" w:lineRule="exact"/>
        <w:ind w:firstLine="542" w:firstLineChars="257"/>
        <w:jc w:val="center"/>
        <w:rPr>
          <w:b/>
          <w:color w:val="auto"/>
          <w:highlight w:val="none"/>
        </w:rPr>
      </w:pPr>
    </w:p>
    <w:p>
      <w:pPr>
        <w:spacing w:line="500" w:lineRule="exact"/>
        <w:rPr>
          <w:rFonts w:ascii="宋体" w:hAnsi="宋体"/>
          <w:color w:val="auto"/>
          <w:szCs w:val="21"/>
          <w:highlight w:val="none"/>
        </w:rPr>
      </w:pPr>
      <w:r>
        <w:rPr>
          <w:rFonts w:hint="eastAsia" w:ascii="宋体" w:hAnsi="宋体"/>
          <w:color w:val="auto"/>
          <w:szCs w:val="21"/>
          <w:highlight w:val="none"/>
        </w:rPr>
        <w:t>供应商：</w:t>
      </w:r>
    </w:p>
    <w:p>
      <w:pPr>
        <w:spacing w:line="500" w:lineRule="exact"/>
        <w:rPr>
          <w:rFonts w:ascii="宋体" w:hAnsi="宋体"/>
          <w:color w:val="auto"/>
          <w:szCs w:val="21"/>
          <w:highlight w:val="none"/>
        </w:rPr>
      </w:pPr>
      <w:r>
        <w:rPr>
          <w:rFonts w:hint="eastAsia" w:ascii="宋体" w:hAnsi="宋体"/>
          <w:color w:val="auto"/>
          <w:szCs w:val="21"/>
          <w:highlight w:val="none"/>
        </w:rPr>
        <w:t>单位性质：</w:t>
      </w:r>
    </w:p>
    <w:p>
      <w:pPr>
        <w:spacing w:line="500" w:lineRule="exact"/>
        <w:rPr>
          <w:rFonts w:ascii="宋体" w:hAnsi="宋体"/>
          <w:color w:val="auto"/>
          <w:szCs w:val="21"/>
          <w:highlight w:val="none"/>
        </w:rPr>
      </w:pPr>
      <w:r>
        <w:rPr>
          <w:rFonts w:hint="eastAsia" w:ascii="宋体" w:hAnsi="宋体"/>
          <w:color w:val="auto"/>
          <w:szCs w:val="21"/>
          <w:highlight w:val="none"/>
        </w:rPr>
        <w:t>地    址：</w:t>
      </w:r>
    </w:p>
    <w:p>
      <w:pPr>
        <w:spacing w:line="500" w:lineRule="exact"/>
        <w:rPr>
          <w:rFonts w:ascii="宋体" w:hAnsi="宋体"/>
          <w:color w:val="auto"/>
          <w:szCs w:val="21"/>
          <w:highlight w:val="none"/>
        </w:rPr>
      </w:pPr>
      <w:r>
        <w:rPr>
          <w:rFonts w:hint="eastAsia" w:ascii="宋体" w:hAnsi="宋体"/>
          <w:color w:val="auto"/>
          <w:szCs w:val="21"/>
          <w:highlight w:val="none"/>
        </w:rPr>
        <w:t>成立时间：      年  月  日</w:t>
      </w:r>
    </w:p>
    <w:p>
      <w:pPr>
        <w:spacing w:line="500" w:lineRule="exact"/>
        <w:rPr>
          <w:rFonts w:ascii="宋体" w:hAnsi="宋体"/>
          <w:color w:val="auto"/>
          <w:szCs w:val="21"/>
          <w:highlight w:val="none"/>
        </w:rPr>
      </w:pPr>
      <w:r>
        <w:rPr>
          <w:rFonts w:hint="eastAsia" w:ascii="宋体" w:hAnsi="宋体"/>
          <w:color w:val="auto"/>
          <w:szCs w:val="21"/>
          <w:highlight w:val="none"/>
        </w:rPr>
        <w:t>经营期限：</w:t>
      </w:r>
    </w:p>
    <w:p>
      <w:pPr>
        <w:spacing w:line="500" w:lineRule="exact"/>
        <w:rPr>
          <w:rFonts w:ascii="宋体" w:hAnsi="宋体"/>
          <w:color w:val="auto"/>
          <w:szCs w:val="21"/>
          <w:highlight w:val="none"/>
        </w:rPr>
      </w:pPr>
      <w:r>
        <w:rPr>
          <w:rFonts w:hint="eastAsia" w:ascii="宋体" w:hAnsi="宋体"/>
          <w:color w:val="auto"/>
          <w:szCs w:val="21"/>
          <w:highlight w:val="none"/>
        </w:rPr>
        <w:t>姓    名：性      别：</w:t>
      </w:r>
    </w:p>
    <w:p>
      <w:pPr>
        <w:spacing w:line="500" w:lineRule="exact"/>
        <w:rPr>
          <w:rFonts w:ascii="宋体" w:hAnsi="宋体"/>
          <w:color w:val="auto"/>
          <w:szCs w:val="21"/>
          <w:highlight w:val="none"/>
          <w:u w:val="single"/>
        </w:rPr>
      </w:pPr>
      <w:r>
        <w:rPr>
          <w:rFonts w:hint="eastAsia" w:ascii="宋体" w:hAnsi="宋体"/>
          <w:color w:val="auto"/>
          <w:szCs w:val="21"/>
          <w:highlight w:val="none"/>
        </w:rPr>
        <w:t>年    龄：职      务：</w:t>
      </w:r>
    </w:p>
    <w:p>
      <w:pPr>
        <w:spacing w:line="500" w:lineRule="exact"/>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pPr>
        <w:pStyle w:val="25"/>
        <w:spacing w:line="460" w:lineRule="exact"/>
        <w:ind w:firstLine="539" w:firstLineChars="257"/>
        <w:rPr>
          <w:rFonts w:hAnsi="宋体"/>
          <w:color w:val="auto"/>
          <w:highlight w:val="none"/>
        </w:rPr>
      </w:pPr>
      <w:r>
        <w:rPr>
          <w:rFonts w:hint="eastAsia" w:hAnsi="宋体"/>
          <w:color w:val="auto"/>
          <w:highlight w:val="none"/>
        </w:rPr>
        <w:t>特此证明。</w:t>
      </w:r>
    </w:p>
    <w:p>
      <w:pPr>
        <w:spacing w:line="500" w:lineRule="exact"/>
        <w:ind w:left="540"/>
        <w:rPr>
          <w:rFonts w:ascii="宋体" w:hAnsi="宋体"/>
          <w:color w:val="auto"/>
          <w:szCs w:val="21"/>
          <w:highlight w:val="none"/>
        </w:rPr>
      </w:pPr>
      <w:r>
        <w:rPr>
          <w:rFonts w:hint="eastAsia"/>
          <w:color w:val="auto"/>
          <w:highlight w:val="none"/>
        </w:rPr>
        <w:t>附：法定代表人有效的身份证正反面复印件</w:t>
      </w: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wordWrap w:val="0"/>
        <w:spacing w:line="460" w:lineRule="exact"/>
        <w:ind w:firstLine="539" w:firstLineChars="257"/>
        <w:jc w:val="right"/>
        <w:rPr>
          <w:color w:val="auto"/>
          <w:highlight w:val="none"/>
        </w:rPr>
      </w:pPr>
    </w:p>
    <w:p>
      <w:pPr>
        <w:pStyle w:val="25"/>
        <w:spacing w:line="460" w:lineRule="exact"/>
        <w:ind w:firstLine="4004" w:firstLineChars="1907"/>
        <w:jc w:val="left"/>
        <w:rPr>
          <w:color w:val="auto"/>
          <w:highlight w:val="none"/>
        </w:rPr>
      </w:pPr>
      <w:r>
        <w:rPr>
          <w:rFonts w:hint="eastAsia"/>
          <w:color w:val="auto"/>
          <w:highlight w:val="none"/>
        </w:rPr>
        <w:t>供应商：（盖单位公章）</w:t>
      </w:r>
    </w:p>
    <w:p>
      <w:pPr>
        <w:pStyle w:val="25"/>
        <w:spacing w:line="460" w:lineRule="exact"/>
        <w:ind w:firstLine="539" w:firstLineChars="257"/>
        <w:rPr>
          <w:color w:val="auto"/>
          <w:highlight w:val="none"/>
        </w:rPr>
      </w:pPr>
    </w:p>
    <w:p>
      <w:pPr>
        <w:pStyle w:val="25"/>
        <w:spacing w:line="460" w:lineRule="exact"/>
        <w:ind w:firstLine="525" w:firstLineChars="250"/>
        <w:jc w:val="right"/>
        <w:rPr>
          <w:color w:val="auto"/>
          <w:highlight w:val="none"/>
        </w:rPr>
      </w:pPr>
      <w:r>
        <w:rPr>
          <w:rFonts w:hint="eastAsia"/>
          <w:color w:val="auto"/>
          <w:highlight w:val="none"/>
        </w:rPr>
        <w:t>日期：   年    月    日</w:t>
      </w:r>
    </w:p>
    <w:p>
      <w:pPr>
        <w:pStyle w:val="25"/>
        <w:spacing w:line="460" w:lineRule="exact"/>
        <w:rPr>
          <w:color w:val="auto"/>
          <w:highlight w:val="none"/>
        </w:rPr>
      </w:pPr>
    </w:p>
    <w:p>
      <w:pPr>
        <w:pStyle w:val="25"/>
        <w:spacing w:line="460" w:lineRule="exact"/>
        <w:rPr>
          <w:color w:val="auto"/>
          <w:highlight w:val="none"/>
        </w:rPr>
      </w:pPr>
    </w:p>
    <w:p>
      <w:pPr>
        <w:spacing w:line="300" w:lineRule="auto"/>
        <w:rPr>
          <w:rFonts w:ascii="宋体" w:hAnsi="宋体"/>
          <w:b/>
          <w:color w:val="auto"/>
          <w:szCs w:val="21"/>
          <w:highlight w:val="none"/>
        </w:rPr>
      </w:pPr>
      <w:r>
        <w:rPr>
          <w:rFonts w:hint="eastAsia"/>
          <w:color w:val="auto"/>
          <w:szCs w:val="21"/>
          <w:highlight w:val="none"/>
        </w:rPr>
        <w:t>附注：如法定代表人亲自参加开标会议的，须提供法定代表人身份证明书、法人代表身份证。</w:t>
      </w:r>
    </w:p>
    <w:p>
      <w:pPr>
        <w:spacing w:line="300" w:lineRule="auto"/>
        <w:rPr>
          <w:rFonts w:ascii="宋体" w:hAnsi="宋体"/>
          <w:b/>
          <w:color w:val="auto"/>
          <w:szCs w:val="21"/>
          <w:highlight w:val="none"/>
        </w:rPr>
      </w:pPr>
      <w:r>
        <w:rPr>
          <w:rFonts w:ascii="宋体" w:hAnsi="宋体"/>
          <w:b/>
          <w:color w:val="auto"/>
          <w:szCs w:val="21"/>
          <w:highlight w:val="none"/>
        </w:rPr>
        <w:br w:type="page"/>
      </w:r>
    </w:p>
    <w:p>
      <w:pPr>
        <w:adjustRightInd w:val="0"/>
        <w:snapToGrid w:val="0"/>
        <w:spacing w:line="300" w:lineRule="auto"/>
        <w:jc w:val="both"/>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lang w:eastAsia="zh-CN"/>
        </w:rPr>
        <w:t>附件六</w:t>
      </w:r>
    </w:p>
    <w:p>
      <w:pPr>
        <w:adjustRightInd w:val="0"/>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pPr>
        <w:adjustRightInd w:val="0"/>
        <w:snapToGrid w:val="0"/>
        <w:spacing w:line="300" w:lineRule="auto"/>
        <w:rPr>
          <w:rFonts w:ascii="宋体" w:hAnsi="宋体"/>
          <w:color w:val="auto"/>
          <w:szCs w:val="21"/>
          <w:highlight w:val="none"/>
        </w:rPr>
      </w:pPr>
    </w:p>
    <w:p>
      <w:pPr>
        <w:snapToGrid w:val="0"/>
        <w:spacing w:beforeLines="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________(供应商名称)的法定代表人________(姓名、职务)授权________(供应商代表姓名、职务)为本公司的投标人代表，就</w:t>
      </w:r>
      <w:r>
        <w:rPr>
          <w:rFonts w:hint="eastAsia" w:ascii="宋体" w:hAnsi="宋体"/>
          <w:color w:val="auto"/>
          <w:szCs w:val="21"/>
          <w:highlight w:val="none"/>
          <w:u w:val="single"/>
        </w:rPr>
        <w:t>___  ___</w:t>
      </w:r>
      <w:r>
        <w:rPr>
          <w:rFonts w:hint="eastAsia" w:ascii="宋体" w:hAnsi="宋体"/>
          <w:color w:val="auto"/>
          <w:szCs w:val="21"/>
          <w:highlight w:val="none"/>
        </w:rPr>
        <w:t>(项目名称及编号)投标及相关事务代表本公司处理与之有关的一切事务。</w:t>
      </w:r>
    </w:p>
    <w:p>
      <w:pPr>
        <w:snapToGrid w:val="0"/>
        <w:spacing w:beforeLines="50" w:after="50" w:line="360" w:lineRule="auto"/>
        <w:jc w:val="left"/>
        <w:rPr>
          <w:rFonts w:ascii="宋体" w:hAnsi="宋体"/>
          <w:color w:val="auto"/>
          <w:szCs w:val="21"/>
          <w:highlight w:val="none"/>
        </w:rPr>
      </w:pP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委托期限：____________________。</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代理人无转委托权。</w:t>
      </w:r>
    </w:p>
    <w:p>
      <w:pPr>
        <w:snapToGrid w:val="0"/>
        <w:spacing w:beforeLines="50" w:after="50" w:line="360" w:lineRule="auto"/>
        <w:jc w:val="left"/>
        <w:rPr>
          <w:rFonts w:ascii="宋体" w:hAnsi="宋体"/>
          <w:color w:val="auto"/>
          <w:szCs w:val="21"/>
          <w:highlight w:val="none"/>
        </w:rPr>
      </w:pPr>
      <w:r>
        <w:rPr>
          <w:rFonts w:hint="eastAsia" w:ascii="宋体" w:hAnsi="宋体"/>
          <w:color w:val="auto"/>
          <w:szCs w:val="21"/>
          <w:highlight w:val="none"/>
        </w:rPr>
        <w:t>本授权书于______年____月____日签字生效，特此声明。</w:t>
      </w:r>
    </w:p>
    <w:p>
      <w:pPr>
        <w:pStyle w:val="25"/>
        <w:spacing w:line="360" w:lineRule="auto"/>
        <w:rPr>
          <w:rFonts w:hAnsi="宋体" w:cs="MingLiU_HKSCS"/>
          <w:color w:val="auto"/>
          <w:highlight w:val="none"/>
        </w:rPr>
      </w:pPr>
    </w:p>
    <w:p>
      <w:pPr>
        <w:pStyle w:val="25"/>
        <w:spacing w:line="360" w:lineRule="auto"/>
        <w:rPr>
          <w:rFonts w:hAnsi="宋体" w:cs="MingLiU_HKSCS"/>
          <w:color w:val="auto"/>
          <w:highlight w:val="none"/>
        </w:rPr>
      </w:pPr>
      <w:r>
        <w:rPr>
          <w:rFonts w:hint="eastAsia" w:hAnsi="宋体" w:cs="MingLiU_HKSCS"/>
          <w:color w:val="auto"/>
          <w:highlight w:val="none"/>
        </w:rPr>
        <w:t>附：法定代表人身份证及被授权人有效身份证正反面复印件</w:t>
      </w: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MingLiU_HKSCS"/>
                <w:color w:val="auto"/>
                <w:highlight w:val="none"/>
              </w:rPr>
              <w:t>法定代表人身份证正反面复印件</w:t>
            </w:r>
          </w:p>
          <w:p>
            <w:pPr>
              <w:pStyle w:val="25"/>
              <w:spacing w:line="360" w:lineRule="auto"/>
              <w:jc w:val="center"/>
              <w:rPr>
                <w:rFonts w:hAnsi="宋体" w:cs="MingLiU_HKSCS"/>
                <w:color w:val="auto"/>
                <w:highlight w:val="none"/>
              </w:rPr>
            </w:pPr>
          </w:p>
        </w:tc>
      </w:tr>
    </w:tbl>
    <w:p>
      <w:pPr>
        <w:pStyle w:val="25"/>
        <w:spacing w:line="360" w:lineRule="auto"/>
        <w:ind w:firstLine="420" w:firstLineChars="200"/>
        <w:rPr>
          <w:rFonts w:hAnsi="宋体" w:cs="MingLiU_HKSCS"/>
          <w:color w:val="auto"/>
          <w:highlight w:val="none"/>
        </w:rPr>
      </w:pPr>
    </w:p>
    <w:p>
      <w:pPr>
        <w:pStyle w:val="25"/>
        <w:spacing w:line="360" w:lineRule="auto"/>
        <w:rPr>
          <w:rFonts w:hAnsi="宋体" w:cs="MingLiU_HKSCS"/>
          <w:color w:val="auto"/>
          <w:highlight w:val="none"/>
        </w:rPr>
      </w:pPr>
    </w:p>
    <w:tbl>
      <w:tblPr>
        <w:tblStyle w:val="49"/>
        <w:tblW w:w="7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9" w:type="dxa"/>
            <w:vAlign w:val="center"/>
          </w:tcPr>
          <w:p>
            <w:pPr>
              <w:pStyle w:val="25"/>
              <w:spacing w:line="360" w:lineRule="auto"/>
              <w:jc w:val="center"/>
              <w:rPr>
                <w:rFonts w:hAnsi="宋体" w:cs="MingLiU_HKSCS"/>
                <w:color w:val="auto"/>
                <w:highlight w:val="none"/>
              </w:rPr>
            </w:pPr>
          </w:p>
          <w:p>
            <w:pPr>
              <w:pStyle w:val="25"/>
              <w:spacing w:line="360" w:lineRule="auto"/>
              <w:jc w:val="center"/>
              <w:rPr>
                <w:rFonts w:hAnsi="宋体" w:cs="MingLiU_HKSCS"/>
                <w:color w:val="auto"/>
                <w:highlight w:val="none"/>
              </w:rPr>
            </w:pPr>
            <w:r>
              <w:rPr>
                <w:rFonts w:hint="eastAsia" w:hAnsi="宋体" w:cs="Times New Roman"/>
                <w:color w:val="auto"/>
                <w:highlight w:val="none"/>
              </w:rPr>
              <w:t>被</w:t>
            </w:r>
            <w:r>
              <w:rPr>
                <w:rFonts w:hint="eastAsia" w:hAnsi="宋体" w:cs="MingLiU_HKSCS"/>
                <w:color w:val="auto"/>
                <w:highlight w:val="none"/>
              </w:rPr>
              <w:t>授权代表身份证正反面复印件</w:t>
            </w:r>
          </w:p>
          <w:p>
            <w:pPr>
              <w:pStyle w:val="25"/>
              <w:spacing w:line="360" w:lineRule="auto"/>
              <w:jc w:val="center"/>
              <w:rPr>
                <w:rFonts w:hAnsi="宋体" w:cs="MingLiU_HKSCS"/>
                <w:color w:val="auto"/>
                <w:highlight w:val="none"/>
              </w:rPr>
            </w:pPr>
          </w:p>
        </w:tc>
      </w:tr>
    </w:tbl>
    <w:p>
      <w:pPr>
        <w:snapToGrid w:val="0"/>
        <w:spacing w:beforeLines="50" w:after="50"/>
        <w:rPr>
          <w:rFonts w:ascii="宋体" w:hAnsi="宋体"/>
          <w:color w:val="auto"/>
          <w:szCs w:val="21"/>
          <w:highlight w:val="none"/>
        </w:rPr>
      </w:pPr>
    </w:p>
    <w:p>
      <w:pPr>
        <w:snapToGrid w:val="0"/>
        <w:spacing w:beforeLines="50" w:after="50"/>
        <w:rPr>
          <w:rFonts w:ascii="宋体" w:hAnsi="宋体"/>
          <w:color w:val="auto"/>
          <w:szCs w:val="21"/>
          <w:highlight w:val="none"/>
          <w:u w:val="single"/>
        </w:rPr>
      </w:pPr>
      <w:r>
        <w:rPr>
          <w:rFonts w:hint="eastAsia" w:ascii="宋体" w:hAnsi="宋体"/>
          <w:color w:val="auto"/>
          <w:szCs w:val="21"/>
          <w:highlight w:val="none"/>
        </w:rPr>
        <w:t>被授权人签字：            法定代表人签字：</w:t>
      </w:r>
    </w:p>
    <w:p>
      <w:pPr>
        <w:snapToGrid w:val="0"/>
        <w:spacing w:beforeLines="50" w:after="50"/>
        <w:rPr>
          <w:rFonts w:ascii="宋体" w:hAnsi="宋体"/>
          <w:color w:val="auto"/>
          <w:szCs w:val="21"/>
          <w:highlight w:val="none"/>
        </w:rPr>
      </w:pPr>
      <w:r>
        <w:rPr>
          <w:rFonts w:hint="eastAsia" w:ascii="宋体" w:hAnsi="宋体"/>
          <w:color w:val="auto"/>
          <w:szCs w:val="21"/>
          <w:highlight w:val="none"/>
        </w:rPr>
        <w:t>所在部门职务：                      职务：</w:t>
      </w:r>
    </w:p>
    <w:p>
      <w:pPr>
        <w:snapToGrid w:val="0"/>
        <w:spacing w:beforeLines="50" w:after="50"/>
        <w:rPr>
          <w:rFonts w:ascii="宋体" w:hAnsi="宋体"/>
          <w:color w:val="auto"/>
          <w:szCs w:val="21"/>
          <w:highlight w:val="none"/>
        </w:rPr>
      </w:pPr>
      <w:r>
        <w:rPr>
          <w:rFonts w:hint="eastAsia" w:ascii="宋体" w:hAnsi="宋体"/>
          <w:color w:val="auto"/>
          <w:szCs w:val="21"/>
          <w:highlight w:val="none"/>
        </w:rPr>
        <w:t>被授权人身份证号码：</w:t>
      </w:r>
    </w:p>
    <w:p>
      <w:pPr>
        <w:snapToGrid w:val="0"/>
        <w:spacing w:beforeLines="50" w:after="50"/>
        <w:jc w:val="center"/>
        <w:rPr>
          <w:rFonts w:ascii="宋体" w:hAnsi="宋体"/>
          <w:color w:val="auto"/>
          <w:szCs w:val="21"/>
          <w:highlight w:val="none"/>
        </w:rPr>
      </w:pPr>
      <w:r>
        <w:rPr>
          <w:rFonts w:hint="eastAsia" w:ascii="宋体" w:hAnsi="宋体"/>
          <w:color w:val="auto"/>
          <w:szCs w:val="21"/>
          <w:highlight w:val="none"/>
        </w:rPr>
        <w:t xml:space="preserve">                                                供应商公章：</w:t>
      </w:r>
    </w:p>
    <w:p>
      <w:pPr>
        <w:pStyle w:val="25"/>
        <w:spacing w:line="460" w:lineRule="exact"/>
        <w:ind w:firstLine="525" w:firstLineChars="250"/>
        <w:jc w:val="right"/>
        <w:rPr>
          <w:color w:val="auto"/>
          <w:highlight w:val="none"/>
        </w:rPr>
      </w:pPr>
      <w:r>
        <w:rPr>
          <w:rFonts w:hint="eastAsia"/>
          <w:color w:val="auto"/>
          <w:highlight w:val="none"/>
        </w:rPr>
        <w:t>日期：   年    月    日</w:t>
      </w: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autoSpaceDE w:val="0"/>
        <w:autoSpaceDN w:val="0"/>
        <w:spacing w:line="300" w:lineRule="auto"/>
        <w:ind w:left="480" w:hanging="480"/>
        <w:rPr>
          <w:rFonts w:ascii="宋体" w:hAnsi="宋体"/>
          <w:color w:val="auto"/>
          <w:szCs w:val="21"/>
          <w:highlight w:val="none"/>
        </w:rPr>
      </w:pPr>
    </w:p>
    <w:p>
      <w:pPr>
        <w:pStyle w:val="4"/>
        <w:jc w:val="center"/>
        <w:rPr>
          <w:color w:val="auto"/>
          <w:sz w:val="36"/>
          <w:szCs w:val="36"/>
          <w:highlight w:val="none"/>
        </w:rPr>
      </w:pPr>
      <w:r>
        <w:rPr>
          <w:rFonts w:hint="eastAsia"/>
          <w:color w:val="auto"/>
          <w:highlight w:val="none"/>
        </w:rPr>
        <w:t>第六章合同主要条款</w:t>
      </w:r>
    </w:p>
    <w:p>
      <w:pPr>
        <w:spacing w:line="360" w:lineRule="auto"/>
        <w:jc w:val="center"/>
        <w:rPr>
          <w:rFonts w:ascii="宋体" w:hAnsi="宋体"/>
          <w:b/>
          <w:bCs/>
          <w:color w:val="auto"/>
          <w:sz w:val="36"/>
          <w:szCs w:val="36"/>
          <w:highlight w:val="none"/>
        </w:rPr>
      </w:pPr>
      <w:r>
        <w:rPr>
          <w:rFonts w:hint="eastAsia"/>
          <w:b/>
          <w:color w:val="auto"/>
          <w:sz w:val="36"/>
          <w:szCs w:val="36"/>
          <w:highlight w:val="none"/>
        </w:rPr>
        <w:t>采购合同书</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合同名称：</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合同编号：</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分标号（有分标时填写）：</w:t>
      </w:r>
      <w:r>
        <w:rPr>
          <w:rFonts w:hint="eastAsia" w:hAnsi="宋体"/>
          <w:color w:val="auto"/>
          <w:highlight w:val="none"/>
          <w:u w:val="single"/>
        </w:rPr>
        <w:t xml:space="preserve">             无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甲方（买方）：</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乙方（卖方）：</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ind w:firstLine="420" w:firstLineChars="200"/>
        <w:rPr>
          <w:rFonts w:hAnsi="宋体"/>
          <w:b/>
          <w:color w:val="auto"/>
          <w:highlight w:val="none"/>
        </w:rPr>
      </w:pPr>
      <w:r>
        <w:rPr>
          <w:rFonts w:hint="eastAsia" w:hAnsi="宋体"/>
          <w:color w:val="auto"/>
          <w:highlight w:val="none"/>
        </w:rPr>
        <w:t>根据</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日采购结果，甲方接受乙方对本项目的投标，甲、乙双方同意签署本合同（以下简称合同）。</w:t>
      </w:r>
    </w:p>
    <w:p>
      <w:pPr>
        <w:pStyle w:val="25"/>
        <w:spacing w:line="360" w:lineRule="auto"/>
        <w:ind w:firstLine="422" w:firstLineChars="200"/>
        <w:rPr>
          <w:rFonts w:hAnsi="宋体"/>
          <w:b/>
          <w:bCs/>
          <w:color w:val="auto"/>
          <w:highlight w:val="none"/>
        </w:rPr>
      </w:pPr>
      <w:r>
        <w:rPr>
          <w:rFonts w:hint="eastAsia" w:hAnsi="宋体"/>
          <w:b/>
          <w:bCs/>
          <w:color w:val="auto"/>
          <w:highlight w:val="none"/>
        </w:rPr>
        <w:t>1.  采购内容</w:t>
      </w:r>
    </w:p>
    <w:p>
      <w:pPr>
        <w:pStyle w:val="25"/>
        <w:tabs>
          <w:tab w:val="left" w:pos="5220"/>
        </w:tabs>
        <w:spacing w:line="360" w:lineRule="auto"/>
        <w:ind w:firstLine="420" w:firstLineChars="200"/>
        <w:rPr>
          <w:rFonts w:hAnsi="宋体"/>
          <w:color w:val="auto"/>
          <w:highlight w:val="none"/>
          <w:u w:val="single"/>
        </w:rPr>
      </w:pPr>
      <w:r>
        <w:rPr>
          <w:rFonts w:hint="eastAsia" w:hAnsi="宋体"/>
          <w:color w:val="auto"/>
          <w:highlight w:val="none"/>
        </w:rPr>
        <w:t>1.1 服务名称：</w:t>
      </w:r>
      <w:r>
        <w:rPr>
          <w:rFonts w:hint="eastAsia" w:hAnsi="宋体"/>
          <w:color w:val="auto"/>
          <w:highlight w:val="none"/>
          <w:u w:val="single"/>
        </w:rPr>
        <w:t>详见合同附件中报价表</w:t>
      </w:r>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1.2 数量：</w:t>
      </w:r>
      <w:r>
        <w:rPr>
          <w:rFonts w:hint="eastAsia" w:hAnsi="宋体"/>
          <w:color w:val="auto"/>
          <w:highlight w:val="none"/>
          <w:u w:val="single"/>
        </w:rPr>
        <w:t>详见合同附件中报价表</w:t>
      </w:r>
    </w:p>
    <w:p>
      <w:pPr>
        <w:pStyle w:val="25"/>
        <w:tabs>
          <w:tab w:val="left" w:pos="5220"/>
        </w:tabs>
        <w:spacing w:line="360" w:lineRule="auto"/>
        <w:ind w:firstLine="420" w:firstLineChars="200"/>
        <w:rPr>
          <w:rFonts w:hAnsi="宋体"/>
          <w:color w:val="auto"/>
          <w:highlight w:val="none"/>
        </w:rPr>
      </w:pPr>
      <w:r>
        <w:rPr>
          <w:rFonts w:hint="eastAsia" w:hAnsi="宋体"/>
          <w:color w:val="auto"/>
          <w:highlight w:val="none"/>
        </w:rPr>
        <w:t xml:space="preserve">1.2 </w:t>
      </w:r>
      <w:r>
        <w:rPr>
          <w:rFonts w:hint="eastAsia"/>
          <w:color w:val="auto"/>
          <w:highlight w:val="none"/>
        </w:rPr>
        <w:t>服务内容及要求</w:t>
      </w:r>
      <w:r>
        <w:rPr>
          <w:rFonts w:hint="eastAsia" w:ascii="Times New Roman" w:hAnsi="Times New Roman"/>
          <w:color w:val="auto"/>
          <w:highlight w:val="none"/>
        </w:rPr>
        <w:t>：</w:t>
      </w:r>
      <w:r>
        <w:rPr>
          <w:rFonts w:hint="eastAsia" w:hAnsi="宋体"/>
          <w:color w:val="auto"/>
          <w:highlight w:val="none"/>
          <w:u w:val="single"/>
        </w:rPr>
        <w:t>详见合同附件中投标服务技术资料表</w:t>
      </w:r>
    </w:p>
    <w:p>
      <w:pPr>
        <w:pStyle w:val="25"/>
        <w:tabs>
          <w:tab w:val="left" w:pos="5145"/>
        </w:tabs>
        <w:spacing w:line="360" w:lineRule="auto"/>
        <w:ind w:firstLine="422" w:firstLineChars="200"/>
        <w:rPr>
          <w:rFonts w:hAnsi="宋体"/>
          <w:b/>
          <w:bCs/>
          <w:color w:val="auto"/>
          <w:highlight w:val="none"/>
        </w:rPr>
      </w:pPr>
      <w:r>
        <w:rPr>
          <w:rFonts w:hint="eastAsia" w:hAnsi="宋体"/>
          <w:b/>
          <w:bCs/>
          <w:color w:val="auto"/>
          <w:highlight w:val="none"/>
        </w:rPr>
        <w:t>2.  合同金额</w:t>
      </w:r>
    </w:p>
    <w:p>
      <w:pPr>
        <w:pStyle w:val="25"/>
        <w:spacing w:line="360" w:lineRule="auto"/>
        <w:ind w:firstLine="411" w:firstLineChars="196"/>
        <w:rPr>
          <w:rFonts w:hAnsi="宋体"/>
          <w:b/>
          <w:bCs/>
          <w:color w:val="auto"/>
          <w:highlight w:val="none"/>
        </w:rPr>
      </w:pPr>
      <w:r>
        <w:rPr>
          <w:rFonts w:hint="eastAsia" w:hAnsi="宋体"/>
          <w:color w:val="auto"/>
          <w:highlight w:val="none"/>
        </w:rPr>
        <w:t>2.1 本合同金额为（大写）人民币</w:t>
      </w:r>
      <w:r>
        <w:rPr>
          <w:rFonts w:hint="eastAsia" w:hAnsi="宋体" w:cs="宋体"/>
          <w:color w:val="auto"/>
          <w:highlight w:val="none"/>
          <w:u w:val="single"/>
        </w:rPr>
        <w:t xml:space="preserve">        </w:t>
      </w:r>
      <w:r>
        <w:rPr>
          <w:rFonts w:hint="eastAsia" w:hAnsi="宋体" w:cs="宋体"/>
          <w:color w:val="auto"/>
          <w:highlight w:val="none"/>
        </w:rPr>
        <w:t>元整(￥</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olor w:val="auto"/>
          <w:highlight w:val="none"/>
        </w:rPr>
        <w:t>（详见报价表）结算以实际为主，且结算金额不能超过合同总金额。</w:t>
      </w:r>
    </w:p>
    <w:p>
      <w:pPr>
        <w:pStyle w:val="25"/>
        <w:tabs>
          <w:tab w:val="left" w:pos="5940"/>
        </w:tabs>
        <w:spacing w:line="360" w:lineRule="auto"/>
        <w:ind w:firstLine="422" w:firstLineChars="200"/>
        <w:rPr>
          <w:rFonts w:hAnsi="宋体"/>
          <w:b/>
          <w:bCs/>
          <w:color w:val="auto"/>
          <w:highlight w:val="none"/>
        </w:rPr>
      </w:pPr>
      <w:r>
        <w:rPr>
          <w:rFonts w:hint="eastAsia" w:hAnsi="宋体"/>
          <w:b/>
          <w:bCs/>
          <w:color w:val="auto"/>
          <w:highlight w:val="none"/>
        </w:rPr>
        <w:t>3.  提交服务成果时间和地点</w:t>
      </w:r>
    </w:p>
    <w:p>
      <w:pPr>
        <w:pStyle w:val="25"/>
        <w:tabs>
          <w:tab w:val="left" w:pos="5250"/>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3.1 </w:t>
      </w:r>
      <w:r>
        <w:rPr>
          <w:rFonts w:hint="eastAsia"/>
          <w:bCs/>
          <w:color w:val="auto"/>
          <w:highlight w:val="none"/>
        </w:rPr>
        <w:t>提交服务成果时间</w:t>
      </w:r>
      <w:r>
        <w:rPr>
          <w:rFonts w:hint="eastAsia" w:hAnsi="宋体"/>
          <w:bCs/>
          <w:color w:val="auto"/>
          <w:highlight w:val="none"/>
        </w:rPr>
        <w:t>：</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3.2 </w:t>
      </w:r>
      <w:r>
        <w:rPr>
          <w:rFonts w:hint="eastAsia"/>
          <w:bCs/>
          <w:color w:val="auto"/>
          <w:highlight w:val="none"/>
        </w:rPr>
        <w:t>提交服务成果</w:t>
      </w:r>
      <w:r>
        <w:rPr>
          <w:rFonts w:hint="eastAsia" w:hAnsi="宋体"/>
          <w:bCs/>
          <w:color w:val="auto"/>
          <w:highlight w:val="none"/>
        </w:rPr>
        <w:t>地点：</w:t>
      </w:r>
      <w:r>
        <w:rPr>
          <w:rFonts w:hint="eastAsia" w:hAnsi="宋体"/>
          <w:color w:val="auto"/>
          <w:highlight w:val="none"/>
          <w:u w:val="single"/>
        </w:rPr>
        <w:t xml:space="preserve">                    </w:t>
      </w:r>
      <w:r>
        <w:rPr>
          <w:rFonts w:hint="eastAsia" w:hAnsi="宋体" w:cs="宋体"/>
          <w:color w:val="auto"/>
          <w:highlight w:val="none"/>
          <w:u w:val="single"/>
        </w:rPr>
        <w:t xml:space="preserve">                      </w:t>
      </w:r>
      <w:r>
        <w:rPr>
          <w:rFonts w:hint="eastAsia" w:hAnsi="宋体"/>
          <w:color w:val="auto"/>
          <w:highlight w:val="none"/>
          <w:u w:val="single"/>
        </w:rPr>
        <w:t xml:space="preserve">   </w:t>
      </w:r>
    </w:p>
    <w:p>
      <w:pPr>
        <w:pStyle w:val="25"/>
        <w:tabs>
          <w:tab w:val="left" w:pos="5940"/>
        </w:tabs>
        <w:spacing w:line="360" w:lineRule="auto"/>
        <w:ind w:firstLine="411" w:firstLineChars="196"/>
        <w:rPr>
          <w:rFonts w:hAnsi="宋体"/>
          <w:b/>
          <w:bCs/>
          <w:color w:val="auto"/>
          <w:highlight w:val="none"/>
        </w:rPr>
      </w:pPr>
      <w:r>
        <w:rPr>
          <w:rFonts w:hint="eastAsia" w:hAnsi="宋体"/>
          <w:bCs/>
          <w:color w:val="auto"/>
          <w:highlight w:val="none"/>
        </w:rPr>
        <w:t xml:space="preserve">3.3 </w:t>
      </w:r>
      <w:r>
        <w:rPr>
          <w:rFonts w:hint="eastAsia" w:hAnsi="宋体"/>
          <w:color w:val="auto"/>
          <w:highlight w:val="none"/>
        </w:rPr>
        <w:t>乙方必须按投标文件承诺的服务响应条款向甲方提供服务。</w:t>
      </w:r>
    </w:p>
    <w:p>
      <w:pPr>
        <w:pStyle w:val="25"/>
        <w:spacing w:line="360" w:lineRule="auto"/>
        <w:ind w:left="420" w:leftChars="200" w:firstLine="63" w:firstLineChars="30"/>
        <w:rPr>
          <w:rFonts w:hAnsi="宋体"/>
          <w:b/>
          <w:color w:val="auto"/>
          <w:highlight w:val="none"/>
        </w:rPr>
      </w:pPr>
      <w:r>
        <w:rPr>
          <w:rFonts w:hint="eastAsia" w:hAnsi="宋体"/>
          <w:b/>
          <w:bCs/>
          <w:color w:val="auto"/>
          <w:highlight w:val="none"/>
        </w:rPr>
        <w:t>4.  履约保证金</w:t>
      </w:r>
    </w:p>
    <w:p>
      <w:pPr>
        <w:pStyle w:val="25"/>
        <w:tabs>
          <w:tab w:val="left" w:pos="5145"/>
        </w:tabs>
        <w:spacing w:line="360" w:lineRule="auto"/>
        <w:ind w:firstLine="420" w:firstLineChars="200"/>
        <w:rPr>
          <w:rFonts w:hAnsi="宋体"/>
          <w:b/>
          <w:color w:val="auto"/>
          <w:highlight w:val="none"/>
        </w:rPr>
      </w:pPr>
      <w:r>
        <w:rPr>
          <w:rFonts w:hint="eastAsia" w:hAnsi="宋体"/>
          <w:color w:val="auto"/>
          <w:highlight w:val="none"/>
        </w:rPr>
        <w:t>4.1 乙方交纳（大写）人民币</w:t>
      </w:r>
      <w:r>
        <w:rPr>
          <w:rFonts w:hint="eastAsia" w:hAnsi="宋体"/>
          <w:color w:val="auto"/>
          <w:highlight w:val="none"/>
          <w:u w:val="single"/>
        </w:rPr>
        <w:t xml:space="preserve">                    </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元）作为本合同的履约保证金。</w:t>
      </w:r>
    </w:p>
    <w:p>
      <w:pPr>
        <w:pStyle w:val="25"/>
        <w:spacing w:line="360" w:lineRule="auto"/>
        <w:ind w:firstLine="420" w:firstLineChars="200"/>
        <w:rPr>
          <w:rFonts w:hAnsi="宋体"/>
          <w:color w:val="auto"/>
          <w:highlight w:val="none"/>
        </w:rPr>
      </w:pPr>
      <w:r>
        <w:rPr>
          <w:rFonts w:hint="eastAsia" w:hAnsi="宋体"/>
          <w:color w:val="auto"/>
          <w:highlight w:val="none"/>
        </w:rPr>
        <w:t>4.2 履约保证金作为违约金的一部分用于补偿甲方因乙方不能完成其合同义务而蒙受的损失。</w:t>
      </w:r>
    </w:p>
    <w:p>
      <w:pPr>
        <w:pStyle w:val="25"/>
        <w:spacing w:line="360" w:lineRule="auto"/>
        <w:ind w:left="420" w:leftChars="200" w:firstLine="61" w:firstLineChars="29"/>
        <w:rPr>
          <w:rFonts w:hAnsi="宋体"/>
          <w:b/>
          <w:color w:val="auto"/>
          <w:highlight w:val="none"/>
        </w:rPr>
      </w:pPr>
      <w:r>
        <w:rPr>
          <w:rFonts w:hint="eastAsia" w:hAnsi="宋体"/>
          <w:b/>
          <w:bCs/>
          <w:color w:val="auto"/>
          <w:highlight w:val="none"/>
        </w:rPr>
        <w:t>5.  产权</w:t>
      </w:r>
    </w:p>
    <w:p>
      <w:pPr>
        <w:pStyle w:val="25"/>
        <w:spacing w:line="360" w:lineRule="auto"/>
        <w:ind w:firstLine="420" w:firstLineChars="200"/>
        <w:rPr>
          <w:rFonts w:hAnsi="宋体"/>
          <w:b/>
          <w:color w:val="auto"/>
          <w:highlight w:val="none"/>
        </w:rPr>
      </w:pPr>
      <w:r>
        <w:rPr>
          <w:rFonts w:hint="eastAsia" w:hAnsi="宋体"/>
          <w:color w:val="auto"/>
          <w:highlight w:val="none"/>
        </w:rPr>
        <w:t xml:space="preserve">5.1 </w:t>
      </w:r>
      <w:r>
        <w:rPr>
          <w:rFonts w:hint="eastAsia" w:ascii="Times New Roman" w:hAnsi="Times New Roman"/>
          <w:color w:val="auto"/>
          <w:highlight w:val="none"/>
        </w:rPr>
        <w:t>乙方应保证所提供的服务或其任何一部分均不会侵犯任何第三方的专利权、商标权或著作权</w:t>
      </w:r>
      <w:r>
        <w:rPr>
          <w:rFonts w:hint="eastAsia" w:hAnsi="宋体"/>
          <w:bCs/>
          <w:color w:val="auto"/>
          <w:highlight w:val="none"/>
        </w:rPr>
        <w:t>。</w:t>
      </w:r>
    </w:p>
    <w:p>
      <w:pPr>
        <w:pStyle w:val="25"/>
        <w:spacing w:line="360" w:lineRule="auto"/>
        <w:ind w:firstLine="420" w:firstLineChars="200"/>
        <w:rPr>
          <w:rFonts w:hAnsi="宋体"/>
          <w:b/>
          <w:color w:val="auto"/>
          <w:highlight w:val="none"/>
        </w:rPr>
      </w:pPr>
      <w:r>
        <w:rPr>
          <w:rFonts w:hint="eastAsia" w:hAnsi="宋体"/>
          <w:color w:val="auto"/>
          <w:highlight w:val="none"/>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5"/>
        <w:spacing w:line="360" w:lineRule="auto"/>
        <w:ind w:firstLine="422" w:firstLineChars="200"/>
        <w:rPr>
          <w:rFonts w:hAnsi="宋体"/>
          <w:b/>
          <w:color w:val="auto"/>
          <w:highlight w:val="none"/>
        </w:rPr>
      </w:pPr>
      <w:r>
        <w:rPr>
          <w:rFonts w:hint="eastAsia" w:hAnsi="宋体"/>
          <w:b/>
          <w:bCs/>
          <w:color w:val="auto"/>
          <w:highlight w:val="none"/>
        </w:rPr>
        <w:t>6.  技术资料</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6.1 甲方应向乙方提供提交服务成果所必需的有关数据、资料等。</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spacing w:line="360" w:lineRule="auto"/>
        <w:ind w:firstLine="422" w:firstLineChars="200"/>
        <w:rPr>
          <w:rFonts w:hAnsi="宋体"/>
          <w:b/>
          <w:bCs/>
          <w:color w:val="auto"/>
          <w:highlight w:val="none"/>
        </w:rPr>
      </w:pPr>
      <w:r>
        <w:rPr>
          <w:rFonts w:hint="eastAsia" w:hAnsi="宋体"/>
          <w:b/>
          <w:bCs/>
          <w:color w:val="auto"/>
          <w:highlight w:val="none"/>
        </w:rPr>
        <w:t>7.  验收</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7.1 乙方应对提交的服务成果作出全面检查和整理，并列出清单，作为甲方验收和使用的技术条件依据，清单应随提交的服务成果交给甲方。</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7.2 乙方在指定地点提交服务成果后，甲方应在5个工作日内依据招标文件、乙方的投标文件等组织验收，验收完毕后作出书面验收报告。验收时乙方必须在现场。</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7.3 对复杂的服务，甲方可请国家认可的专业机构参与验收，并由其出具验收报告，相关费用由甲方承担。</w:t>
      </w:r>
    </w:p>
    <w:p>
      <w:pPr>
        <w:pStyle w:val="25"/>
        <w:spacing w:line="360" w:lineRule="auto"/>
        <w:ind w:firstLine="422" w:firstLineChars="200"/>
        <w:rPr>
          <w:rFonts w:hAnsi="宋体"/>
          <w:b/>
          <w:bCs/>
          <w:color w:val="auto"/>
          <w:highlight w:val="none"/>
        </w:rPr>
      </w:pPr>
      <w:r>
        <w:rPr>
          <w:rFonts w:hint="eastAsia" w:hAnsi="宋体"/>
          <w:b/>
          <w:bCs/>
          <w:color w:val="auto"/>
          <w:highlight w:val="none"/>
        </w:rPr>
        <w:t>8.  合同款支付</w:t>
      </w:r>
    </w:p>
    <w:p>
      <w:pPr>
        <w:tabs>
          <w:tab w:val="left" w:pos="3490"/>
          <w:tab w:val="left" w:pos="3670"/>
          <w:tab w:val="left" w:pos="3895"/>
        </w:tabs>
        <w:spacing w:line="360" w:lineRule="auto"/>
        <w:ind w:firstLine="420" w:firstLineChars="200"/>
        <w:rPr>
          <w:rFonts w:hAnsi="宋体"/>
          <w:bCs/>
          <w:color w:val="auto"/>
          <w:szCs w:val="21"/>
          <w:highlight w:val="none"/>
          <w:u w:val="single"/>
        </w:rPr>
      </w:pPr>
      <w:r>
        <w:rPr>
          <w:rFonts w:hint="eastAsia" w:hAnsi="宋体"/>
          <w:bCs/>
          <w:color w:val="auto"/>
          <w:szCs w:val="21"/>
          <w:highlight w:val="none"/>
        </w:rPr>
        <w:t xml:space="preserve"> 付款方式：</w:t>
      </w:r>
      <w:r>
        <w:rPr>
          <w:rFonts w:hint="eastAsia" w:hAnsi="宋体"/>
          <w:bCs/>
          <w:color w:val="auto"/>
          <w:szCs w:val="21"/>
          <w:highlight w:val="none"/>
          <w:u w:val="single"/>
        </w:rPr>
        <w:t xml:space="preserve">                                                            </w:t>
      </w:r>
      <w:r>
        <w:rPr>
          <w:rFonts w:hAnsi="宋体"/>
          <w:bCs/>
          <w:color w:val="auto"/>
          <w:szCs w:val="21"/>
          <w:highlight w:val="none"/>
          <w:u w:val="single"/>
        </w:rPr>
        <w:t xml:space="preserve"> </w:t>
      </w:r>
    </w:p>
    <w:p>
      <w:pPr>
        <w:pStyle w:val="25"/>
        <w:spacing w:line="360" w:lineRule="auto"/>
        <w:ind w:firstLine="422" w:firstLineChars="200"/>
        <w:rPr>
          <w:rFonts w:hAnsi="宋体"/>
          <w:b/>
          <w:bCs/>
          <w:color w:val="auto"/>
          <w:highlight w:val="none"/>
        </w:rPr>
      </w:pPr>
      <w:r>
        <w:rPr>
          <w:rFonts w:hint="eastAsia" w:hAnsi="宋体"/>
          <w:b/>
          <w:bCs/>
          <w:color w:val="auto"/>
          <w:highlight w:val="none"/>
        </w:rPr>
        <w:t>9.  售后服务要求</w:t>
      </w:r>
    </w:p>
    <w:p>
      <w:pPr>
        <w:pStyle w:val="25"/>
        <w:spacing w:line="360" w:lineRule="auto"/>
        <w:ind w:firstLine="420" w:firstLineChars="200"/>
        <w:rPr>
          <w:rFonts w:hAnsi="宋体"/>
          <w:color w:val="auto"/>
          <w:highlight w:val="none"/>
        </w:rPr>
      </w:pPr>
      <w:r>
        <w:rPr>
          <w:rFonts w:hint="eastAsia" w:hAnsi="宋体"/>
          <w:color w:val="auto"/>
          <w:highlight w:val="none"/>
        </w:rPr>
        <w:t>9.1 乙方提供服务的质量保证期为：</w:t>
      </w:r>
      <w:r>
        <w:rPr>
          <w:rFonts w:hint="eastAsia" w:hAnsi="宋体"/>
          <w:color w:val="auto"/>
          <w:highlight w:val="none"/>
          <w:u w:val="single"/>
        </w:rPr>
        <w:t xml:space="preserve">　                </w:t>
      </w:r>
      <w:r>
        <w:rPr>
          <w:rFonts w:hint="eastAsia" w:hAnsi="宋体"/>
          <w:color w:val="auto"/>
          <w:highlight w:val="none"/>
        </w:rPr>
        <w:t>（自提交服务验收合格之日起计）</w:t>
      </w:r>
    </w:p>
    <w:p>
      <w:pPr>
        <w:pStyle w:val="25"/>
        <w:spacing w:line="360" w:lineRule="auto"/>
        <w:ind w:firstLine="420" w:firstLineChars="200"/>
        <w:rPr>
          <w:rFonts w:hAnsi="宋体"/>
          <w:color w:val="auto"/>
          <w:highlight w:val="none"/>
        </w:rPr>
      </w:pPr>
      <w:r>
        <w:rPr>
          <w:rFonts w:hint="eastAsia" w:hAnsi="宋体"/>
          <w:color w:val="auto"/>
          <w:highlight w:val="none"/>
        </w:rPr>
        <w:t>9.2 质量保证金为（大写）人民币</w:t>
      </w:r>
      <w:r>
        <w:rPr>
          <w:rFonts w:hint="eastAsia" w:hAnsi="宋体"/>
          <w:color w:val="auto"/>
          <w:highlight w:val="none"/>
          <w:u w:val="single"/>
        </w:rPr>
        <w:t xml:space="preserve">                    整</w:t>
      </w:r>
      <w:r>
        <w:rPr>
          <w:rFonts w:hint="eastAsia" w:hAnsi="宋体"/>
          <w:color w:val="auto"/>
          <w:highlight w:val="none"/>
        </w:rPr>
        <w:t>（￥</w:t>
      </w:r>
      <w:r>
        <w:rPr>
          <w:rFonts w:hint="eastAsia" w:hAnsi="宋体"/>
          <w:color w:val="auto"/>
          <w:highlight w:val="none"/>
          <w:u w:val="single"/>
        </w:rPr>
        <w:t xml:space="preserve">　    </w:t>
      </w:r>
      <w:r>
        <w:rPr>
          <w:rFonts w:hint="eastAsia" w:hAnsi="宋体"/>
          <w:color w:val="auto"/>
          <w:highlight w:val="none"/>
        </w:rPr>
        <w:t>元）（履约保证金在中标供应商按合同约定所提交的服务验收合格后自行转为质保金。）</w:t>
      </w:r>
    </w:p>
    <w:p>
      <w:pPr>
        <w:pStyle w:val="25"/>
        <w:spacing w:line="360" w:lineRule="auto"/>
        <w:ind w:firstLine="420" w:firstLineChars="200"/>
        <w:rPr>
          <w:rFonts w:hAnsi="宋体"/>
          <w:color w:val="auto"/>
          <w:highlight w:val="none"/>
        </w:rPr>
      </w:pPr>
      <w:r>
        <w:rPr>
          <w:rFonts w:hint="eastAsia" w:hAnsi="宋体"/>
          <w:color w:val="auto"/>
          <w:highlight w:val="none"/>
        </w:rPr>
        <w:t>9.3 履约保证金自合同生效之日起转为质量保证金。在质保期内乙方提供的服务质量符合合同约定，经验收合格，质保期满后乙方向甲方办理退付手续，甲方将在收到完整且合格的退付申请资料后五个工作日内以转账或电汇方式无息退还乙方。</w:t>
      </w:r>
    </w:p>
    <w:p>
      <w:pPr>
        <w:pStyle w:val="25"/>
        <w:spacing w:line="360" w:lineRule="auto"/>
        <w:ind w:firstLine="420" w:firstLineChars="200"/>
        <w:rPr>
          <w:rFonts w:hAnsi="宋体"/>
          <w:color w:val="auto"/>
          <w:highlight w:val="none"/>
        </w:rPr>
      </w:pPr>
      <w:r>
        <w:rPr>
          <w:rFonts w:hint="eastAsia" w:hAnsi="宋体"/>
          <w:color w:val="auto"/>
          <w:highlight w:val="none"/>
        </w:rPr>
        <w:t>9.4 在本合同第9.1项约定的质量保证期内，乙方应对服务出现的问题负责处理解决并承担一切费用。</w:t>
      </w:r>
    </w:p>
    <w:p>
      <w:pPr>
        <w:pStyle w:val="25"/>
        <w:spacing w:line="360" w:lineRule="auto"/>
        <w:ind w:firstLine="420" w:firstLineChars="200"/>
        <w:rPr>
          <w:rFonts w:hAnsi="宋体"/>
          <w:color w:val="auto"/>
          <w:highlight w:val="none"/>
          <w:u w:val="single"/>
        </w:rPr>
      </w:pPr>
      <w:r>
        <w:rPr>
          <w:rFonts w:hint="eastAsia" w:hAnsi="宋体"/>
          <w:color w:val="auto"/>
          <w:highlight w:val="none"/>
        </w:rPr>
        <w:t>9.5 其他售后服务要求：</w:t>
      </w:r>
      <w:r>
        <w:rPr>
          <w:rFonts w:hint="eastAsia" w:hAnsi="宋体"/>
          <w:color w:val="auto"/>
          <w:highlight w:val="none"/>
          <w:u w:val="single"/>
        </w:rPr>
        <w:t>按响应文件商务条款偏离表及澄清函（商务条款偏离表与澄清函不一致的以澄清函为准）内容执行。</w:t>
      </w:r>
    </w:p>
    <w:p>
      <w:pPr>
        <w:pStyle w:val="25"/>
        <w:spacing w:line="360" w:lineRule="auto"/>
        <w:ind w:firstLine="422" w:firstLineChars="200"/>
        <w:rPr>
          <w:rFonts w:hAnsi="宋体"/>
          <w:b/>
          <w:bCs/>
          <w:color w:val="auto"/>
          <w:highlight w:val="none"/>
        </w:rPr>
      </w:pPr>
      <w:r>
        <w:rPr>
          <w:rFonts w:hint="eastAsia" w:hAnsi="宋体"/>
          <w:b/>
          <w:bCs/>
          <w:color w:val="auto"/>
          <w:highlight w:val="none"/>
        </w:rPr>
        <w:t>10.  违约责任</w:t>
      </w:r>
    </w:p>
    <w:p>
      <w:pPr>
        <w:pStyle w:val="25"/>
        <w:spacing w:line="360" w:lineRule="auto"/>
        <w:ind w:firstLine="420" w:firstLineChars="200"/>
        <w:rPr>
          <w:rFonts w:hAnsi="宋体"/>
          <w:color w:val="auto"/>
          <w:highlight w:val="none"/>
        </w:rPr>
      </w:pPr>
      <w:r>
        <w:rPr>
          <w:rFonts w:hint="eastAsia" w:hAnsi="宋体"/>
          <w:color w:val="auto"/>
          <w:highlight w:val="none"/>
        </w:rPr>
        <w:t>10.1 甲方无正当理由拒收服务的，甲方向乙方偿付拒收服务费总值的百分之五违约金。</w:t>
      </w:r>
    </w:p>
    <w:p>
      <w:pPr>
        <w:pStyle w:val="25"/>
        <w:spacing w:line="360" w:lineRule="auto"/>
        <w:ind w:firstLine="420" w:firstLineChars="200"/>
        <w:rPr>
          <w:rFonts w:hAnsi="宋体"/>
          <w:color w:val="auto"/>
          <w:highlight w:val="none"/>
        </w:rPr>
      </w:pPr>
      <w:r>
        <w:rPr>
          <w:rFonts w:hint="eastAsia" w:hAnsi="宋体"/>
          <w:color w:val="auto"/>
          <w:highlight w:val="none"/>
        </w:rPr>
        <w:t>10.2 甲方无故逾期验收或办理合同款支付手续的，甲方应按逾期付款总额每日万分之五向乙方支付违约金。</w:t>
      </w:r>
    </w:p>
    <w:p>
      <w:pPr>
        <w:pStyle w:val="25"/>
        <w:spacing w:line="360" w:lineRule="auto"/>
        <w:ind w:firstLine="420" w:firstLineChars="200"/>
        <w:rPr>
          <w:rFonts w:hAnsi="宋体"/>
          <w:color w:val="auto"/>
          <w:highlight w:val="none"/>
        </w:rPr>
      </w:pPr>
      <w:r>
        <w:rPr>
          <w:rFonts w:hint="eastAsia" w:hAnsi="宋体"/>
          <w:color w:val="auto"/>
          <w:highlight w:val="none"/>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5"/>
        <w:spacing w:line="360" w:lineRule="auto"/>
        <w:ind w:firstLine="422" w:firstLineChars="200"/>
        <w:rPr>
          <w:rFonts w:hAnsi="宋体"/>
          <w:b/>
          <w:bCs/>
          <w:color w:val="auto"/>
          <w:highlight w:val="none"/>
        </w:rPr>
      </w:pPr>
      <w:r>
        <w:rPr>
          <w:rFonts w:hint="eastAsia" w:hAnsi="宋体"/>
          <w:b/>
          <w:bCs/>
          <w:color w:val="auto"/>
          <w:highlight w:val="none"/>
        </w:rPr>
        <w:t>11.  不可抗力事件处理</w:t>
      </w:r>
    </w:p>
    <w:p>
      <w:pPr>
        <w:pStyle w:val="25"/>
        <w:spacing w:line="360" w:lineRule="auto"/>
        <w:ind w:firstLine="420" w:firstLineChars="200"/>
        <w:rPr>
          <w:rFonts w:hAnsi="宋体"/>
          <w:color w:val="auto"/>
          <w:highlight w:val="none"/>
        </w:rPr>
      </w:pPr>
      <w:r>
        <w:rPr>
          <w:rFonts w:hint="eastAsia" w:hAnsi="宋体"/>
          <w:color w:val="auto"/>
          <w:highlight w:val="none"/>
        </w:rPr>
        <w:t>11.1 在合同有效期内，任何一方因不可抗力事件导致不能履行合同，则合同履行期可延长，其延长期与不可抗力影响期相同。</w:t>
      </w:r>
    </w:p>
    <w:p>
      <w:pPr>
        <w:pStyle w:val="25"/>
        <w:spacing w:line="360" w:lineRule="auto"/>
        <w:ind w:firstLine="420" w:firstLineChars="200"/>
        <w:rPr>
          <w:rFonts w:hAnsi="宋体"/>
          <w:color w:val="auto"/>
          <w:highlight w:val="none"/>
        </w:rPr>
      </w:pPr>
      <w:r>
        <w:rPr>
          <w:rFonts w:hint="eastAsia" w:hAnsi="宋体"/>
          <w:color w:val="auto"/>
          <w:highlight w:val="none"/>
        </w:rPr>
        <w:t>11.2 不可抗力事件发生后，应立即通知对方，并寄送有关权威机构出具的证明。</w:t>
      </w:r>
    </w:p>
    <w:p>
      <w:pPr>
        <w:pStyle w:val="25"/>
        <w:spacing w:line="360" w:lineRule="auto"/>
        <w:ind w:firstLine="420" w:firstLineChars="200"/>
        <w:rPr>
          <w:rFonts w:hAnsi="宋体"/>
          <w:color w:val="auto"/>
          <w:highlight w:val="none"/>
        </w:rPr>
      </w:pPr>
      <w:r>
        <w:rPr>
          <w:rFonts w:hint="eastAsia" w:hAnsi="宋体"/>
          <w:color w:val="auto"/>
          <w:highlight w:val="none"/>
        </w:rPr>
        <w:t>11.3 不可抗力事件延续120天以上，双方应通过友好协商，确定是否继续履行合同。</w:t>
      </w:r>
    </w:p>
    <w:p>
      <w:pPr>
        <w:pStyle w:val="25"/>
        <w:spacing w:line="360" w:lineRule="auto"/>
        <w:ind w:firstLine="422" w:firstLineChars="200"/>
        <w:rPr>
          <w:rFonts w:hAnsi="宋体"/>
          <w:b/>
          <w:bCs/>
          <w:color w:val="auto"/>
          <w:highlight w:val="none"/>
        </w:rPr>
      </w:pPr>
      <w:r>
        <w:rPr>
          <w:rFonts w:hint="eastAsia" w:hAnsi="宋体"/>
          <w:b/>
          <w:bCs/>
          <w:color w:val="auto"/>
          <w:highlight w:val="none"/>
        </w:rPr>
        <w:t>12.  诉讼</w:t>
      </w:r>
    </w:p>
    <w:p>
      <w:pPr>
        <w:pStyle w:val="25"/>
        <w:tabs>
          <w:tab w:val="left" w:pos="0"/>
        </w:tabs>
        <w:spacing w:line="360" w:lineRule="auto"/>
        <w:ind w:firstLine="420" w:firstLineChars="200"/>
        <w:rPr>
          <w:rFonts w:hAnsi="宋体"/>
          <w:color w:val="auto"/>
          <w:highlight w:val="none"/>
        </w:rPr>
      </w:pPr>
      <w:r>
        <w:rPr>
          <w:rFonts w:hint="eastAsia" w:hAnsi="宋体"/>
          <w:color w:val="auto"/>
          <w:highlight w:val="none"/>
        </w:rPr>
        <w:t>12.1 双方在执行合同中所发生的一切争议，应通过协商解决。如协商不成，可向合同签订地法院起诉，合同签订地在此约定为广西南宁市青秀区。</w:t>
      </w:r>
    </w:p>
    <w:p>
      <w:pPr>
        <w:pStyle w:val="25"/>
        <w:spacing w:line="360" w:lineRule="auto"/>
        <w:ind w:firstLine="422" w:firstLineChars="200"/>
        <w:rPr>
          <w:rFonts w:hAnsi="宋体"/>
          <w:b/>
          <w:bCs/>
          <w:color w:val="auto"/>
          <w:highlight w:val="none"/>
        </w:rPr>
      </w:pPr>
      <w:r>
        <w:rPr>
          <w:rFonts w:hint="eastAsia" w:hAnsi="宋体"/>
          <w:b/>
          <w:bCs/>
          <w:color w:val="auto"/>
          <w:highlight w:val="none"/>
        </w:rPr>
        <w:t>13.  合同生效及其它</w:t>
      </w:r>
    </w:p>
    <w:p>
      <w:pPr>
        <w:pStyle w:val="25"/>
        <w:spacing w:line="360" w:lineRule="auto"/>
        <w:ind w:firstLine="420" w:firstLineChars="200"/>
        <w:rPr>
          <w:rFonts w:hAnsi="宋体"/>
          <w:color w:val="auto"/>
          <w:highlight w:val="none"/>
        </w:rPr>
      </w:pPr>
      <w:r>
        <w:rPr>
          <w:rFonts w:hint="eastAsia" w:hAnsi="宋体"/>
          <w:color w:val="auto"/>
          <w:highlight w:val="none"/>
        </w:rPr>
        <w:t>13.1 合同经双方法定代表人或授权委托代理人签字并加盖单位公章后生效。</w:t>
      </w:r>
    </w:p>
    <w:p>
      <w:pPr>
        <w:pStyle w:val="25"/>
        <w:spacing w:line="360" w:lineRule="auto"/>
        <w:ind w:firstLine="420" w:firstLineChars="200"/>
        <w:rPr>
          <w:rFonts w:hAnsi="宋体"/>
          <w:color w:val="auto"/>
          <w:highlight w:val="none"/>
        </w:rPr>
      </w:pPr>
      <w:r>
        <w:rPr>
          <w:rFonts w:hint="eastAsia" w:hAnsi="宋体"/>
          <w:color w:val="auto"/>
          <w:highlight w:val="none"/>
        </w:rPr>
        <w:t>13.2 合同执行中涉及采购资金和采购内容修改或补充的，须签书面补充协议，方可作为主合同不可分割的一部分。</w:t>
      </w:r>
    </w:p>
    <w:p>
      <w:pPr>
        <w:pStyle w:val="25"/>
        <w:spacing w:line="360" w:lineRule="auto"/>
        <w:ind w:firstLine="420" w:firstLineChars="200"/>
        <w:rPr>
          <w:rFonts w:hAnsi="宋体"/>
          <w:color w:val="auto"/>
          <w:highlight w:val="none"/>
        </w:rPr>
      </w:pPr>
      <w:r>
        <w:rPr>
          <w:rFonts w:hint="eastAsia" w:hAnsi="宋体"/>
          <w:color w:val="auto"/>
          <w:highlight w:val="none"/>
        </w:rPr>
        <w:t>13.3 下述合同附件为本合同不可分割的部分并与本合同具有同等效力：</w:t>
      </w:r>
    </w:p>
    <w:p>
      <w:pPr>
        <w:pStyle w:val="25"/>
        <w:spacing w:line="360" w:lineRule="auto"/>
        <w:ind w:firstLine="420" w:firstLineChars="200"/>
        <w:rPr>
          <w:rFonts w:hAnsi="宋体"/>
          <w:color w:val="auto"/>
          <w:highlight w:val="none"/>
        </w:rPr>
      </w:pPr>
      <w:r>
        <w:rPr>
          <w:rFonts w:hint="eastAsia" w:hAnsi="宋体"/>
          <w:color w:val="auto"/>
          <w:highlight w:val="none"/>
        </w:rPr>
        <w:t>（1）中标通知书；</w:t>
      </w:r>
    </w:p>
    <w:p>
      <w:pPr>
        <w:pStyle w:val="25"/>
        <w:spacing w:line="360" w:lineRule="auto"/>
        <w:ind w:firstLine="420" w:firstLineChars="200"/>
        <w:rPr>
          <w:rFonts w:hAnsi="宋体"/>
          <w:color w:val="auto"/>
          <w:highlight w:val="none"/>
        </w:rPr>
      </w:pPr>
      <w:r>
        <w:rPr>
          <w:rFonts w:hint="eastAsia" w:hAnsi="宋体"/>
          <w:color w:val="auto"/>
          <w:highlight w:val="none"/>
        </w:rPr>
        <w:t>（2）履约保证金交纳证明；</w:t>
      </w:r>
    </w:p>
    <w:p>
      <w:pPr>
        <w:pStyle w:val="25"/>
        <w:spacing w:line="360" w:lineRule="auto"/>
        <w:ind w:firstLine="420" w:firstLineChars="200"/>
        <w:rPr>
          <w:rFonts w:hAnsi="宋体"/>
          <w:color w:val="auto"/>
          <w:highlight w:val="none"/>
        </w:rPr>
      </w:pPr>
      <w:r>
        <w:rPr>
          <w:rFonts w:hint="eastAsia" w:hAnsi="宋体"/>
          <w:color w:val="auto"/>
          <w:highlight w:val="none"/>
        </w:rPr>
        <w:t>（3）招标文件服务需求一览表；</w:t>
      </w:r>
    </w:p>
    <w:p>
      <w:pPr>
        <w:pStyle w:val="25"/>
        <w:spacing w:line="360" w:lineRule="auto"/>
        <w:ind w:firstLine="420" w:firstLineChars="200"/>
        <w:rPr>
          <w:rFonts w:hAnsi="宋体"/>
          <w:color w:val="auto"/>
          <w:highlight w:val="none"/>
        </w:rPr>
      </w:pPr>
      <w:r>
        <w:rPr>
          <w:rFonts w:hint="eastAsia" w:hAnsi="宋体"/>
          <w:color w:val="auto"/>
          <w:highlight w:val="none"/>
        </w:rPr>
        <w:t>（4）招标文件的澄清和修改；</w:t>
      </w:r>
    </w:p>
    <w:p>
      <w:pPr>
        <w:pStyle w:val="25"/>
        <w:spacing w:line="360" w:lineRule="auto"/>
        <w:ind w:firstLine="420" w:firstLineChars="200"/>
        <w:rPr>
          <w:rFonts w:hAnsi="宋体"/>
          <w:color w:val="auto"/>
          <w:highlight w:val="none"/>
        </w:rPr>
      </w:pPr>
      <w:r>
        <w:rPr>
          <w:rFonts w:hint="eastAsia" w:hAnsi="宋体"/>
          <w:color w:val="auto"/>
          <w:highlight w:val="none"/>
        </w:rPr>
        <w:t>（5）投标函、报价表；</w:t>
      </w:r>
    </w:p>
    <w:p>
      <w:pPr>
        <w:pStyle w:val="25"/>
        <w:spacing w:line="360" w:lineRule="auto"/>
        <w:ind w:firstLine="420" w:firstLineChars="200"/>
        <w:rPr>
          <w:rFonts w:hAnsi="宋体"/>
          <w:color w:val="auto"/>
          <w:highlight w:val="none"/>
        </w:rPr>
      </w:pPr>
      <w:r>
        <w:rPr>
          <w:rFonts w:hint="eastAsia" w:hAnsi="宋体"/>
          <w:color w:val="auto"/>
          <w:highlight w:val="none"/>
        </w:rPr>
        <w:t>（6）投标服务技术资料表、商务条款偏离表、售后服务承诺书；</w:t>
      </w:r>
    </w:p>
    <w:p>
      <w:pPr>
        <w:pStyle w:val="25"/>
        <w:spacing w:line="360" w:lineRule="auto"/>
        <w:ind w:firstLine="420" w:firstLineChars="200"/>
        <w:rPr>
          <w:rFonts w:hAnsi="宋体"/>
          <w:color w:val="auto"/>
          <w:highlight w:val="none"/>
        </w:rPr>
      </w:pPr>
      <w:r>
        <w:rPr>
          <w:rFonts w:hint="eastAsia" w:hAnsi="宋体"/>
          <w:color w:val="auto"/>
          <w:highlight w:val="none"/>
        </w:rPr>
        <w:t>（7）中标供应商澄清函。</w:t>
      </w:r>
    </w:p>
    <w:p>
      <w:pPr>
        <w:pStyle w:val="25"/>
        <w:spacing w:line="360" w:lineRule="auto"/>
        <w:ind w:firstLine="420" w:firstLineChars="200"/>
        <w:rPr>
          <w:rFonts w:hAnsi="宋体"/>
          <w:color w:val="auto"/>
          <w:highlight w:val="none"/>
        </w:rPr>
      </w:pPr>
      <w:r>
        <w:rPr>
          <w:rFonts w:hint="eastAsia" w:hAnsi="宋体"/>
          <w:color w:val="auto"/>
          <w:highlight w:val="none"/>
        </w:rPr>
        <w:t>13.4 本合同未尽事宜，遵照《中华人民共和国合同法》有关条文执行。</w:t>
      </w:r>
    </w:p>
    <w:p>
      <w:pPr>
        <w:pStyle w:val="25"/>
        <w:spacing w:line="360" w:lineRule="auto"/>
        <w:ind w:firstLine="420" w:firstLineChars="200"/>
        <w:rPr>
          <w:rFonts w:hAnsi="宋体"/>
          <w:color w:val="auto"/>
          <w:highlight w:val="none"/>
        </w:rPr>
      </w:pPr>
      <w:r>
        <w:rPr>
          <w:rFonts w:hint="eastAsia" w:hAnsi="宋体"/>
          <w:color w:val="auto"/>
          <w:highlight w:val="none"/>
        </w:rPr>
        <w:t>13.5 本合同正本一式6份，具有同等法律效力。</w:t>
      </w:r>
    </w:p>
    <w:p>
      <w:pPr>
        <w:pStyle w:val="25"/>
        <w:spacing w:line="360" w:lineRule="auto"/>
        <w:ind w:firstLine="360"/>
        <w:rPr>
          <w:rFonts w:hAnsi="宋体"/>
          <w:color w:val="auto"/>
          <w:highlight w:val="none"/>
        </w:rPr>
      </w:pPr>
    </w:p>
    <w:p>
      <w:pPr>
        <w:pStyle w:val="25"/>
        <w:spacing w:line="360" w:lineRule="auto"/>
        <w:rPr>
          <w:rFonts w:hAnsi="宋体"/>
          <w:color w:val="auto"/>
          <w:highlight w:val="none"/>
        </w:rPr>
      </w:pPr>
    </w:p>
    <w:p>
      <w:pPr>
        <w:pStyle w:val="25"/>
        <w:spacing w:line="360" w:lineRule="auto"/>
        <w:rPr>
          <w:rFonts w:hAnsi="宋体"/>
          <w:color w:val="auto"/>
          <w:highlight w:val="none"/>
          <w:u w:val="single"/>
        </w:rPr>
      </w:pPr>
      <w:r>
        <w:rPr>
          <w:rFonts w:hint="eastAsia" w:hAnsi="宋体"/>
          <w:color w:val="auto"/>
          <w:highlight w:val="none"/>
        </w:rPr>
        <w:t>甲方：</w:t>
      </w:r>
      <w:r>
        <w:rPr>
          <w:rFonts w:hint="eastAsia" w:hAnsi="宋体"/>
          <w:color w:val="auto"/>
          <w:highlight w:val="none"/>
          <w:u w:val="single"/>
        </w:rPr>
        <w:t xml:space="preserve">                             </w:t>
      </w:r>
      <w:r>
        <w:rPr>
          <w:rFonts w:hint="eastAsia" w:hAnsi="宋体"/>
          <w:color w:val="auto"/>
          <w:highlight w:val="none"/>
        </w:rPr>
        <w:t xml:space="preserve">     乙方：</w:t>
      </w:r>
      <w:r>
        <w:rPr>
          <w:rFonts w:hint="eastAsia" w:hAnsi="宋体"/>
          <w:color w:val="auto"/>
          <w:highlight w:val="none"/>
          <w:u w:val="single"/>
        </w:rPr>
        <w:t xml:space="preserve">                         </w:t>
      </w:r>
    </w:p>
    <w:p>
      <w:pPr>
        <w:pStyle w:val="25"/>
        <w:spacing w:line="360" w:lineRule="auto"/>
        <w:ind w:left="5460" w:hanging="5460" w:hangingChars="2600"/>
        <w:rPr>
          <w:rFonts w:hAnsi="宋体"/>
          <w:color w:val="auto"/>
          <w:highlight w:val="none"/>
          <w:u w:val="singl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地址：</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法定代表人：</w:t>
      </w:r>
      <w:r>
        <w:rPr>
          <w:rFonts w:hint="eastAsia" w:hAnsi="宋体"/>
          <w:color w:val="auto"/>
          <w:highlight w:val="none"/>
          <w:u w:val="single"/>
        </w:rPr>
        <w:t xml:space="preserve">                        </w:t>
      </w:r>
      <w:r>
        <w:rPr>
          <w:rFonts w:hint="eastAsia" w:hAnsi="宋体"/>
          <w:color w:val="auto"/>
          <w:highlight w:val="none"/>
        </w:rPr>
        <w:t xml:space="preserve">    法定代表人：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委托代理人：</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25"/>
        <w:spacing w:line="360" w:lineRule="auto"/>
        <w:rPr>
          <w:rFonts w:hAnsi="宋体"/>
          <w:color w:val="auto"/>
          <w:highlight w:val="none"/>
        </w:rPr>
      </w:pPr>
      <w:r>
        <w:rPr>
          <w:rFonts w:hint="eastAsia" w:hAnsi="宋体"/>
          <w:color w:val="auto"/>
          <w:highlight w:val="none"/>
        </w:rPr>
        <w:t xml:space="preserve">电话：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25"/>
        <w:spacing w:line="360" w:lineRule="auto"/>
        <w:rPr>
          <w:rFonts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邮政编码：</w:t>
      </w:r>
      <w:r>
        <w:rPr>
          <w:rFonts w:hint="eastAsia" w:hAnsi="宋体"/>
          <w:color w:val="auto"/>
          <w:highlight w:val="none"/>
          <w:u w:val="single"/>
        </w:rPr>
        <w:t xml:space="preserve">                              </w:t>
      </w:r>
    </w:p>
    <w:p>
      <w:pPr>
        <w:pStyle w:val="25"/>
        <w:spacing w:line="360" w:lineRule="auto"/>
        <w:ind w:firstLine="4095" w:firstLineChars="1950"/>
        <w:rPr>
          <w:rFonts w:hAnsi="宋体"/>
          <w:color w:val="auto"/>
          <w:highlight w:val="none"/>
        </w:rPr>
      </w:pPr>
      <w:r>
        <w:rPr>
          <w:rFonts w:hint="eastAsia" w:hAnsi="宋体"/>
          <w:color w:val="auto"/>
          <w:highlight w:val="none"/>
        </w:rPr>
        <w:t>统一社会代码：</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开户银行：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开户名称：</w:t>
      </w:r>
      <w:r>
        <w:rPr>
          <w:rFonts w:hint="eastAsia" w:hAnsi="宋体"/>
          <w:color w:val="auto"/>
          <w:highlight w:val="none"/>
          <w:u w:val="single"/>
        </w:rPr>
        <w:t xml:space="preserve">    </w:t>
      </w:r>
      <w:r>
        <w:rPr>
          <w:rFonts w:hint="eastAsia" w:hAnsi="宋体"/>
          <w:color w:val="auto"/>
          <w:highlight w:val="none"/>
        </w:rPr>
        <w:t xml:space="preserve">  </w:t>
      </w:r>
      <w:r>
        <w:rPr>
          <w:rFonts w:hint="eastAsia" w:hAnsi="宋体"/>
          <w:color w:val="auto"/>
          <w:highlight w:val="none"/>
          <w:u w:val="single"/>
        </w:rPr>
        <w:t xml:space="preserve">                           </w:t>
      </w:r>
    </w:p>
    <w:p>
      <w:pPr>
        <w:pStyle w:val="25"/>
        <w:spacing w:line="360" w:lineRule="auto"/>
        <w:rPr>
          <w:rFonts w:hAnsi="宋体"/>
          <w:color w:val="auto"/>
          <w:highlight w:val="none"/>
          <w:u w:val="single"/>
        </w:rPr>
      </w:pPr>
      <w:r>
        <w:rPr>
          <w:rFonts w:hint="eastAsia" w:hAnsi="宋体"/>
          <w:color w:val="auto"/>
          <w:highlight w:val="none"/>
        </w:rPr>
        <w:t xml:space="preserve">                                       银行账号：</w:t>
      </w:r>
      <w:r>
        <w:rPr>
          <w:rFonts w:hint="eastAsia" w:hAnsi="宋体"/>
          <w:color w:val="auto"/>
          <w:highlight w:val="none"/>
          <w:u w:val="single"/>
        </w:rPr>
        <w:t xml:space="preserve">                             </w:t>
      </w:r>
    </w:p>
    <w:p>
      <w:pPr>
        <w:pStyle w:val="25"/>
        <w:spacing w:line="360" w:lineRule="auto"/>
        <w:rPr>
          <w:rFonts w:hAnsi="宋体"/>
          <w:color w:val="auto"/>
          <w:highlight w:val="none"/>
        </w:rPr>
      </w:pPr>
    </w:p>
    <w:p>
      <w:pPr>
        <w:pStyle w:val="25"/>
        <w:spacing w:line="360" w:lineRule="auto"/>
        <w:rPr>
          <w:rFonts w:hAnsi="宋体"/>
          <w:color w:val="auto"/>
          <w:highlight w:val="none"/>
        </w:rPr>
      </w:pPr>
      <w:r>
        <w:rPr>
          <w:rFonts w:hint="eastAsia" w:hAnsi="宋体"/>
          <w:color w:val="auto"/>
          <w:highlight w:val="none"/>
        </w:rPr>
        <w:t>合同签订地点：广西南宁</w:t>
      </w:r>
    </w:p>
    <w:p>
      <w:pPr>
        <w:pStyle w:val="25"/>
        <w:spacing w:line="360" w:lineRule="auto"/>
        <w:rPr>
          <w:rFonts w:hAnsi="宋体"/>
          <w:color w:val="auto"/>
          <w:sz w:val="24"/>
          <w:szCs w:val="24"/>
          <w:highlight w:val="none"/>
        </w:rPr>
      </w:pPr>
      <w:r>
        <w:rPr>
          <w:rFonts w:hint="eastAsia" w:hAnsi="宋体"/>
          <w:color w:val="auto"/>
          <w:highlight w:val="none"/>
        </w:rPr>
        <w:t>合同签订日期：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pPr>
        <w:jc w:val="center"/>
        <w:rPr>
          <w:color w:val="auto"/>
          <w:highlight w:val="none"/>
        </w:rPr>
      </w:pPr>
    </w:p>
    <w:sectPr>
      <w:headerReference r:id="rId9" w:type="first"/>
      <w:footerReference r:id="rId10" w:type="first"/>
      <w:pgSz w:w="11906" w:h="16838"/>
      <w:pgMar w:top="1418" w:right="1418" w:bottom="1418"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eqibE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kNq88IJws0tIonDL&#10;FU6wY2EcWlE3Lljeir/vJevlN1j/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3N6qJsQEA&#10;AE4DAAAOAAAAAAAAAAEAIAAAAB4BAABkcnMvZTJvRG9jLnhtbFBLBQYAAAAABgAGAFkBAABBBQAA&#10;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d2ib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kdq88Ir+cpuQROGW&#10;KxxhT4VxaEXdacHyVvx5L1kvv8H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oJ3aJsQEA&#10;AE4DAAAOAAAAAAAAAAEAIAAAAB4BAABkcnMvZTJvRG9jLnhtbFBLBQYAAAAABgAGAFkBAABBBQAA&#10;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eUYErIB&#10;AABOAwAADgAAAAAAAAABACAAAAAeAQAAZHJzL2Uyb0RvYy54bWxQSwUGAAAAAAYABgBZAQAAQgUA&#10;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ind w:right="804" w:rightChars="383" w:firstLine="420" w:firstLineChars="200"/>
      <w:rPr>
        <w:rFonts w:hint="eastAsia" w:ascii="宋体" w:hAnsi="宋体" w:eastAsia="宋体"/>
        <w:szCs w:val="21"/>
        <w:lang w:eastAsia="zh-CN"/>
      </w:rPr>
    </w:pPr>
    <w:r>
      <w:rPr>
        <w:rFonts w:hint="eastAsia" w:ascii="宋体" w:hAnsi="宋体"/>
        <w:color w:val="auto"/>
        <w:szCs w:val="21"/>
        <w:highlight w:val="none"/>
      </w:rPr>
      <w:t>球馆物品搬迁、拆装服务采购</w:t>
    </w:r>
    <w:r>
      <w:rPr>
        <w:rFonts w:hint="eastAsia" w:ascii="宋体" w:hAnsi="宋体" w:cs="宋体"/>
        <w:color w:val="111F2C"/>
        <w:szCs w:val="21"/>
        <w:shd w:val="clear" w:color="auto" w:fill="FFFFFF"/>
      </w:rPr>
      <w:t>GIEG2020HZ-004</w:t>
    </w:r>
    <w:r>
      <w:rPr>
        <w:rFonts w:hint="eastAsia" w:ascii="宋体" w:hAnsi="宋体" w:cs="宋体"/>
        <w:color w:val="111F2C"/>
        <w:szCs w:val="21"/>
        <w:shd w:val="clear" w:color="auto" w:fill="FFFFFF"/>
        <w:lang w:val="en-US" w:eastAsia="zh-CN"/>
      </w:rPr>
      <w:t>7</w:t>
    </w:r>
  </w:p>
  <w:p>
    <w:pPr>
      <w:pStyle w:val="32"/>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1">
    <w:nsid w:val="076C7C35"/>
    <w:multiLevelType w:val="multilevel"/>
    <w:tmpl w:val="076C7C35"/>
    <w:lvl w:ilvl="0" w:tentative="0">
      <w:start w:val="1"/>
      <w:numFmt w:val="decimal"/>
      <w:pStyle w:val="121"/>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70541F2"/>
    <w:multiLevelType w:val="multilevel"/>
    <w:tmpl w:val="170541F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38CDD373"/>
    <w:multiLevelType w:val="singleLevel"/>
    <w:tmpl w:val="38CDD373"/>
    <w:lvl w:ilvl="0" w:tentative="0">
      <w:start w:val="2"/>
      <w:numFmt w:val="chineseCounting"/>
      <w:suff w:val="nothing"/>
      <w:lvlText w:val="%1、"/>
      <w:lvlJc w:val="left"/>
      <w:rPr>
        <w:rFonts w:hint="eastAsia"/>
      </w:rPr>
    </w:lvl>
  </w:abstractNum>
  <w:abstractNum w:abstractNumId="5">
    <w:nsid w:val="4F886337"/>
    <w:multiLevelType w:val="multilevel"/>
    <w:tmpl w:val="4F886337"/>
    <w:lvl w:ilvl="0" w:tentative="0">
      <w:start w:val="1"/>
      <w:numFmt w:val="decimal"/>
      <w:pStyle w:val="138"/>
      <w:lvlText w:val="（%1）"/>
      <w:lvlJc w:val="left"/>
      <w:pPr>
        <w:ind w:left="1275" w:hanging="750"/>
      </w:pPr>
      <w:rPr>
        <w:rFonts w:hint="default"/>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4FF1187F"/>
    <w:multiLevelType w:val="multilevel"/>
    <w:tmpl w:val="4FF1187F"/>
    <w:lvl w:ilvl="0" w:tentative="0">
      <w:start w:val="1"/>
      <w:numFmt w:val="decimal"/>
      <w:pStyle w:val="136"/>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56E83EA1"/>
    <w:multiLevelType w:val="multilevel"/>
    <w:tmpl w:val="56E83EA1"/>
    <w:lvl w:ilvl="0" w:tentative="0">
      <w:start w:val="1"/>
      <w:numFmt w:val="decimal"/>
      <w:pStyle w:val="134"/>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8F67B16"/>
    <w:multiLevelType w:val="singleLevel"/>
    <w:tmpl w:val="78F67B16"/>
    <w:lvl w:ilvl="0" w:tentative="0">
      <w:start w:val="10"/>
      <w:numFmt w:val="chineseCounting"/>
      <w:suff w:val="nothing"/>
      <w:lvlText w:val="%1、"/>
      <w:lvlJc w:val="left"/>
      <w:rPr>
        <w:rFonts w:hint="eastAsia"/>
      </w:rPr>
    </w:lvl>
  </w:abstractNum>
  <w:num w:numId="1">
    <w:abstractNumId w:val="3"/>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cumentProtection w:enforcement="0"/>
  <w:defaultTabStop w:val="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672"/>
    <w:rsid w:val="00001A25"/>
    <w:rsid w:val="00001AD6"/>
    <w:rsid w:val="000021E2"/>
    <w:rsid w:val="000025AB"/>
    <w:rsid w:val="000029ED"/>
    <w:rsid w:val="00002AF7"/>
    <w:rsid w:val="00003442"/>
    <w:rsid w:val="000039E6"/>
    <w:rsid w:val="00003FC2"/>
    <w:rsid w:val="00005897"/>
    <w:rsid w:val="000065E3"/>
    <w:rsid w:val="000071E8"/>
    <w:rsid w:val="00010566"/>
    <w:rsid w:val="00010914"/>
    <w:rsid w:val="00010D86"/>
    <w:rsid w:val="00010E36"/>
    <w:rsid w:val="0001172C"/>
    <w:rsid w:val="00012854"/>
    <w:rsid w:val="000132E8"/>
    <w:rsid w:val="00014E30"/>
    <w:rsid w:val="00014F5B"/>
    <w:rsid w:val="00015487"/>
    <w:rsid w:val="00020134"/>
    <w:rsid w:val="00020F74"/>
    <w:rsid w:val="0002190F"/>
    <w:rsid w:val="000222F3"/>
    <w:rsid w:val="00022792"/>
    <w:rsid w:val="00023BE8"/>
    <w:rsid w:val="00024027"/>
    <w:rsid w:val="0002585A"/>
    <w:rsid w:val="00025E36"/>
    <w:rsid w:val="000269AB"/>
    <w:rsid w:val="000269ED"/>
    <w:rsid w:val="00026C29"/>
    <w:rsid w:val="000273E9"/>
    <w:rsid w:val="00027A5F"/>
    <w:rsid w:val="00027DE1"/>
    <w:rsid w:val="000307E9"/>
    <w:rsid w:val="00032114"/>
    <w:rsid w:val="00033A5B"/>
    <w:rsid w:val="00037171"/>
    <w:rsid w:val="000371E3"/>
    <w:rsid w:val="000411B4"/>
    <w:rsid w:val="00042CB8"/>
    <w:rsid w:val="0004440C"/>
    <w:rsid w:val="00044F9A"/>
    <w:rsid w:val="0004597C"/>
    <w:rsid w:val="000466AA"/>
    <w:rsid w:val="000467A4"/>
    <w:rsid w:val="00047131"/>
    <w:rsid w:val="000509D9"/>
    <w:rsid w:val="0005234F"/>
    <w:rsid w:val="00053428"/>
    <w:rsid w:val="0005401A"/>
    <w:rsid w:val="000545D5"/>
    <w:rsid w:val="00054880"/>
    <w:rsid w:val="00060B8B"/>
    <w:rsid w:val="00060E46"/>
    <w:rsid w:val="00062A8B"/>
    <w:rsid w:val="00062AA4"/>
    <w:rsid w:val="000643ED"/>
    <w:rsid w:val="00064847"/>
    <w:rsid w:val="00065B14"/>
    <w:rsid w:val="00065ED2"/>
    <w:rsid w:val="000673E2"/>
    <w:rsid w:val="00067CAF"/>
    <w:rsid w:val="0007068E"/>
    <w:rsid w:val="000711E4"/>
    <w:rsid w:val="00072DA9"/>
    <w:rsid w:val="00073325"/>
    <w:rsid w:val="00077F49"/>
    <w:rsid w:val="00080988"/>
    <w:rsid w:val="00082585"/>
    <w:rsid w:val="00083B5D"/>
    <w:rsid w:val="00085EC4"/>
    <w:rsid w:val="00086D6B"/>
    <w:rsid w:val="00091AD7"/>
    <w:rsid w:val="00091DCC"/>
    <w:rsid w:val="00091FCA"/>
    <w:rsid w:val="00092A1C"/>
    <w:rsid w:val="000958A8"/>
    <w:rsid w:val="000973B5"/>
    <w:rsid w:val="00097775"/>
    <w:rsid w:val="000A3D54"/>
    <w:rsid w:val="000A4419"/>
    <w:rsid w:val="000A520D"/>
    <w:rsid w:val="000A6046"/>
    <w:rsid w:val="000A6622"/>
    <w:rsid w:val="000A7A12"/>
    <w:rsid w:val="000B1EDF"/>
    <w:rsid w:val="000B2EF8"/>
    <w:rsid w:val="000B2F30"/>
    <w:rsid w:val="000B3B98"/>
    <w:rsid w:val="000B4428"/>
    <w:rsid w:val="000B4A1E"/>
    <w:rsid w:val="000B6D5D"/>
    <w:rsid w:val="000C3476"/>
    <w:rsid w:val="000C3771"/>
    <w:rsid w:val="000C56E0"/>
    <w:rsid w:val="000C7B1D"/>
    <w:rsid w:val="000D0515"/>
    <w:rsid w:val="000D0A89"/>
    <w:rsid w:val="000D2626"/>
    <w:rsid w:val="000D41D5"/>
    <w:rsid w:val="000D73DD"/>
    <w:rsid w:val="000E03CB"/>
    <w:rsid w:val="000E1989"/>
    <w:rsid w:val="000E46A6"/>
    <w:rsid w:val="000E4E23"/>
    <w:rsid w:val="000E56FD"/>
    <w:rsid w:val="000E6A23"/>
    <w:rsid w:val="000E747D"/>
    <w:rsid w:val="000F0EB3"/>
    <w:rsid w:val="000F0F35"/>
    <w:rsid w:val="000F3733"/>
    <w:rsid w:val="000F3B79"/>
    <w:rsid w:val="000F42CA"/>
    <w:rsid w:val="000F6DD9"/>
    <w:rsid w:val="001005C6"/>
    <w:rsid w:val="001009F5"/>
    <w:rsid w:val="001020ED"/>
    <w:rsid w:val="00102C16"/>
    <w:rsid w:val="00102FE0"/>
    <w:rsid w:val="00103918"/>
    <w:rsid w:val="00103E83"/>
    <w:rsid w:val="00104897"/>
    <w:rsid w:val="00104EDE"/>
    <w:rsid w:val="00105636"/>
    <w:rsid w:val="001066DD"/>
    <w:rsid w:val="001069B9"/>
    <w:rsid w:val="00106BEE"/>
    <w:rsid w:val="00110236"/>
    <w:rsid w:val="00111624"/>
    <w:rsid w:val="001118F4"/>
    <w:rsid w:val="0011510A"/>
    <w:rsid w:val="001155E7"/>
    <w:rsid w:val="0011608D"/>
    <w:rsid w:val="001168F0"/>
    <w:rsid w:val="00117F08"/>
    <w:rsid w:val="0012195F"/>
    <w:rsid w:val="00122064"/>
    <w:rsid w:val="00122941"/>
    <w:rsid w:val="00123F38"/>
    <w:rsid w:val="001255F8"/>
    <w:rsid w:val="00125E07"/>
    <w:rsid w:val="00126277"/>
    <w:rsid w:val="001263B8"/>
    <w:rsid w:val="001302BD"/>
    <w:rsid w:val="00130D92"/>
    <w:rsid w:val="001317C3"/>
    <w:rsid w:val="00133042"/>
    <w:rsid w:val="001337A4"/>
    <w:rsid w:val="00134C8F"/>
    <w:rsid w:val="00141C9C"/>
    <w:rsid w:val="00143ACD"/>
    <w:rsid w:val="0014459D"/>
    <w:rsid w:val="001448D5"/>
    <w:rsid w:val="00147134"/>
    <w:rsid w:val="00147802"/>
    <w:rsid w:val="0015138F"/>
    <w:rsid w:val="00151627"/>
    <w:rsid w:val="00151CD1"/>
    <w:rsid w:val="00151F4F"/>
    <w:rsid w:val="0015202A"/>
    <w:rsid w:val="00152FC1"/>
    <w:rsid w:val="00153750"/>
    <w:rsid w:val="0015413C"/>
    <w:rsid w:val="001542FC"/>
    <w:rsid w:val="001558B7"/>
    <w:rsid w:val="001561F6"/>
    <w:rsid w:val="0015688F"/>
    <w:rsid w:val="001609C5"/>
    <w:rsid w:val="0016420C"/>
    <w:rsid w:val="00164EC0"/>
    <w:rsid w:val="001661A3"/>
    <w:rsid w:val="00167E66"/>
    <w:rsid w:val="00170485"/>
    <w:rsid w:val="00171374"/>
    <w:rsid w:val="001720D2"/>
    <w:rsid w:val="0017223D"/>
    <w:rsid w:val="00173C68"/>
    <w:rsid w:val="00175BA6"/>
    <w:rsid w:val="00176909"/>
    <w:rsid w:val="00176D15"/>
    <w:rsid w:val="001778C5"/>
    <w:rsid w:val="00177B28"/>
    <w:rsid w:val="001801EF"/>
    <w:rsid w:val="00180209"/>
    <w:rsid w:val="001811F8"/>
    <w:rsid w:val="00182370"/>
    <w:rsid w:val="00182921"/>
    <w:rsid w:val="00182E7E"/>
    <w:rsid w:val="001844F7"/>
    <w:rsid w:val="0018466C"/>
    <w:rsid w:val="001849C9"/>
    <w:rsid w:val="00185617"/>
    <w:rsid w:val="001869B8"/>
    <w:rsid w:val="00186E62"/>
    <w:rsid w:val="0019181F"/>
    <w:rsid w:val="0019231C"/>
    <w:rsid w:val="00192E96"/>
    <w:rsid w:val="00192EE0"/>
    <w:rsid w:val="001A02B3"/>
    <w:rsid w:val="001A037B"/>
    <w:rsid w:val="001A0A06"/>
    <w:rsid w:val="001A26CD"/>
    <w:rsid w:val="001A3EDE"/>
    <w:rsid w:val="001A4DBA"/>
    <w:rsid w:val="001A55CA"/>
    <w:rsid w:val="001A563F"/>
    <w:rsid w:val="001A5E24"/>
    <w:rsid w:val="001A687B"/>
    <w:rsid w:val="001A69F8"/>
    <w:rsid w:val="001A6D8B"/>
    <w:rsid w:val="001B00A8"/>
    <w:rsid w:val="001B05DD"/>
    <w:rsid w:val="001B09B9"/>
    <w:rsid w:val="001B1BD1"/>
    <w:rsid w:val="001B1CAC"/>
    <w:rsid w:val="001B2CE3"/>
    <w:rsid w:val="001B37A0"/>
    <w:rsid w:val="001B487F"/>
    <w:rsid w:val="001B52D1"/>
    <w:rsid w:val="001B7052"/>
    <w:rsid w:val="001B7F00"/>
    <w:rsid w:val="001C006E"/>
    <w:rsid w:val="001C086E"/>
    <w:rsid w:val="001C1071"/>
    <w:rsid w:val="001C1E34"/>
    <w:rsid w:val="001C20B2"/>
    <w:rsid w:val="001C6CB0"/>
    <w:rsid w:val="001D0B7F"/>
    <w:rsid w:val="001D1712"/>
    <w:rsid w:val="001D17EE"/>
    <w:rsid w:val="001D18E0"/>
    <w:rsid w:val="001D234F"/>
    <w:rsid w:val="001D255E"/>
    <w:rsid w:val="001D4A05"/>
    <w:rsid w:val="001D5A8A"/>
    <w:rsid w:val="001D5D9C"/>
    <w:rsid w:val="001D6B8C"/>
    <w:rsid w:val="001D71F1"/>
    <w:rsid w:val="001D721C"/>
    <w:rsid w:val="001E129E"/>
    <w:rsid w:val="001E1E6A"/>
    <w:rsid w:val="001E2052"/>
    <w:rsid w:val="001E2B15"/>
    <w:rsid w:val="001E4232"/>
    <w:rsid w:val="001E474A"/>
    <w:rsid w:val="001E798B"/>
    <w:rsid w:val="001F0E52"/>
    <w:rsid w:val="001F325C"/>
    <w:rsid w:val="001F4002"/>
    <w:rsid w:val="001F678E"/>
    <w:rsid w:val="00200851"/>
    <w:rsid w:val="00201588"/>
    <w:rsid w:val="00201E89"/>
    <w:rsid w:val="0020307F"/>
    <w:rsid w:val="002035B4"/>
    <w:rsid w:val="00203825"/>
    <w:rsid w:val="00204133"/>
    <w:rsid w:val="0020437A"/>
    <w:rsid w:val="002048D4"/>
    <w:rsid w:val="0020517D"/>
    <w:rsid w:val="00211433"/>
    <w:rsid w:val="002114C7"/>
    <w:rsid w:val="00211A29"/>
    <w:rsid w:val="0021221E"/>
    <w:rsid w:val="00213066"/>
    <w:rsid w:val="00215314"/>
    <w:rsid w:val="002156AE"/>
    <w:rsid w:val="00216D43"/>
    <w:rsid w:val="00216F6B"/>
    <w:rsid w:val="0021738A"/>
    <w:rsid w:val="00222879"/>
    <w:rsid w:val="002237DB"/>
    <w:rsid w:val="00223C07"/>
    <w:rsid w:val="00227954"/>
    <w:rsid w:val="002300AC"/>
    <w:rsid w:val="00231B89"/>
    <w:rsid w:val="00231DF9"/>
    <w:rsid w:val="00231FA2"/>
    <w:rsid w:val="0023394E"/>
    <w:rsid w:val="00234045"/>
    <w:rsid w:val="00234FE0"/>
    <w:rsid w:val="002355BE"/>
    <w:rsid w:val="0023639C"/>
    <w:rsid w:val="00237020"/>
    <w:rsid w:val="002371B5"/>
    <w:rsid w:val="00237E01"/>
    <w:rsid w:val="00242682"/>
    <w:rsid w:val="002439AB"/>
    <w:rsid w:val="00244B22"/>
    <w:rsid w:val="00245F2B"/>
    <w:rsid w:val="002511B0"/>
    <w:rsid w:val="002518B9"/>
    <w:rsid w:val="0025394B"/>
    <w:rsid w:val="002560B6"/>
    <w:rsid w:val="002566B1"/>
    <w:rsid w:val="00260CFF"/>
    <w:rsid w:val="00261E30"/>
    <w:rsid w:val="0026295D"/>
    <w:rsid w:val="002642EF"/>
    <w:rsid w:val="002657FB"/>
    <w:rsid w:val="00265907"/>
    <w:rsid w:val="00267ECE"/>
    <w:rsid w:val="00280DC8"/>
    <w:rsid w:val="002835B0"/>
    <w:rsid w:val="00283761"/>
    <w:rsid w:val="00283B01"/>
    <w:rsid w:val="00284567"/>
    <w:rsid w:val="0028463A"/>
    <w:rsid w:val="00285063"/>
    <w:rsid w:val="00287763"/>
    <w:rsid w:val="00293B43"/>
    <w:rsid w:val="002952AF"/>
    <w:rsid w:val="002952B6"/>
    <w:rsid w:val="00295D11"/>
    <w:rsid w:val="00296B83"/>
    <w:rsid w:val="00297A2B"/>
    <w:rsid w:val="002A018B"/>
    <w:rsid w:val="002A33C7"/>
    <w:rsid w:val="002A34C4"/>
    <w:rsid w:val="002A5D15"/>
    <w:rsid w:val="002B2DD4"/>
    <w:rsid w:val="002B320E"/>
    <w:rsid w:val="002B356B"/>
    <w:rsid w:val="002B4798"/>
    <w:rsid w:val="002B5E20"/>
    <w:rsid w:val="002B7988"/>
    <w:rsid w:val="002C0C1C"/>
    <w:rsid w:val="002C18C8"/>
    <w:rsid w:val="002C5420"/>
    <w:rsid w:val="002C6772"/>
    <w:rsid w:val="002C6AD4"/>
    <w:rsid w:val="002D08B3"/>
    <w:rsid w:val="002D4B03"/>
    <w:rsid w:val="002D5449"/>
    <w:rsid w:val="002D5726"/>
    <w:rsid w:val="002D63CD"/>
    <w:rsid w:val="002D6A5B"/>
    <w:rsid w:val="002D7648"/>
    <w:rsid w:val="002D79BC"/>
    <w:rsid w:val="002E05CF"/>
    <w:rsid w:val="002E0980"/>
    <w:rsid w:val="002E109C"/>
    <w:rsid w:val="002E1A1E"/>
    <w:rsid w:val="002E3AB9"/>
    <w:rsid w:val="002F199D"/>
    <w:rsid w:val="002F3202"/>
    <w:rsid w:val="002F34CE"/>
    <w:rsid w:val="002F460A"/>
    <w:rsid w:val="002F5188"/>
    <w:rsid w:val="002F63E5"/>
    <w:rsid w:val="002F6B36"/>
    <w:rsid w:val="002F768C"/>
    <w:rsid w:val="002F7912"/>
    <w:rsid w:val="002F7D1E"/>
    <w:rsid w:val="003019A4"/>
    <w:rsid w:val="00301A1A"/>
    <w:rsid w:val="00302E54"/>
    <w:rsid w:val="00303F2B"/>
    <w:rsid w:val="0030400D"/>
    <w:rsid w:val="003067AA"/>
    <w:rsid w:val="00306FCC"/>
    <w:rsid w:val="003108A6"/>
    <w:rsid w:val="0031380E"/>
    <w:rsid w:val="00313DB8"/>
    <w:rsid w:val="003141F7"/>
    <w:rsid w:val="00314469"/>
    <w:rsid w:val="00317BA7"/>
    <w:rsid w:val="00317E5D"/>
    <w:rsid w:val="00322520"/>
    <w:rsid w:val="00324D63"/>
    <w:rsid w:val="00327D41"/>
    <w:rsid w:val="003324C5"/>
    <w:rsid w:val="003329B3"/>
    <w:rsid w:val="00333089"/>
    <w:rsid w:val="00334AE1"/>
    <w:rsid w:val="003357F1"/>
    <w:rsid w:val="00335DC5"/>
    <w:rsid w:val="0033691E"/>
    <w:rsid w:val="0033735F"/>
    <w:rsid w:val="003374B7"/>
    <w:rsid w:val="003412DB"/>
    <w:rsid w:val="003416BA"/>
    <w:rsid w:val="00342D82"/>
    <w:rsid w:val="00342F99"/>
    <w:rsid w:val="00343568"/>
    <w:rsid w:val="0034501B"/>
    <w:rsid w:val="00346224"/>
    <w:rsid w:val="00346910"/>
    <w:rsid w:val="003469A0"/>
    <w:rsid w:val="00346C05"/>
    <w:rsid w:val="00347A53"/>
    <w:rsid w:val="00347D20"/>
    <w:rsid w:val="00350527"/>
    <w:rsid w:val="003505DC"/>
    <w:rsid w:val="003512EE"/>
    <w:rsid w:val="00351898"/>
    <w:rsid w:val="003518A6"/>
    <w:rsid w:val="00355125"/>
    <w:rsid w:val="00356988"/>
    <w:rsid w:val="00362E0B"/>
    <w:rsid w:val="00363E66"/>
    <w:rsid w:val="00363FEF"/>
    <w:rsid w:val="00364034"/>
    <w:rsid w:val="00366683"/>
    <w:rsid w:val="00370DC7"/>
    <w:rsid w:val="00371539"/>
    <w:rsid w:val="0037626E"/>
    <w:rsid w:val="00380BA9"/>
    <w:rsid w:val="00381224"/>
    <w:rsid w:val="00381606"/>
    <w:rsid w:val="00382B81"/>
    <w:rsid w:val="003841FF"/>
    <w:rsid w:val="0038722C"/>
    <w:rsid w:val="003875A4"/>
    <w:rsid w:val="00387610"/>
    <w:rsid w:val="00387620"/>
    <w:rsid w:val="00390286"/>
    <w:rsid w:val="003936AA"/>
    <w:rsid w:val="00393EC8"/>
    <w:rsid w:val="00394910"/>
    <w:rsid w:val="00396A2D"/>
    <w:rsid w:val="00396CA3"/>
    <w:rsid w:val="00396FC3"/>
    <w:rsid w:val="0039722A"/>
    <w:rsid w:val="00397BC9"/>
    <w:rsid w:val="003A2C81"/>
    <w:rsid w:val="003A374D"/>
    <w:rsid w:val="003A5758"/>
    <w:rsid w:val="003A64BB"/>
    <w:rsid w:val="003A6B80"/>
    <w:rsid w:val="003B0B6A"/>
    <w:rsid w:val="003B0D5E"/>
    <w:rsid w:val="003B1D17"/>
    <w:rsid w:val="003B1E5B"/>
    <w:rsid w:val="003B2199"/>
    <w:rsid w:val="003B29CF"/>
    <w:rsid w:val="003B31AB"/>
    <w:rsid w:val="003B497F"/>
    <w:rsid w:val="003B4A36"/>
    <w:rsid w:val="003B54A5"/>
    <w:rsid w:val="003C071B"/>
    <w:rsid w:val="003C08E4"/>
    <w:rsid w:val="003C1BD9"/>
    <w:rsid w:val="003C2366"/>
    <w:rsid w:val="003C3BA0"/>
    <w:rsid w:val="003C4580"/>
    <w:rsid w:val="003C497F"/>
    <w:rsid w:val="003C6746"/>
    <w:rsid w:val="003C7252"/>
    <w:rsid w:val="003C7AA3"/>
    <w:rsid w:val="003C7F0D"/>
    <w:rsid w:val="003D0E07"/>
    <w:rsid w:val="003D26D0"/>
    <w:rsid w:val="003D385B"/>
    <w:rsid w:val="003D50B5"/>
    <w:rsid w:val="003D65D8"/>
    <w:rsid w:val="003D6E57"/>
    <w:rsid w:val="003D7CE8"/>
    <w:rsid w:val="003E1B3A"/>
    <w:rsid w:val="003E285E"/>
    <w:rsid w:val="003E3300"/>
    <w:rsid w:val="003E5ABF"/>
    <w:rsid w:val="003E71A7"/>
    <w:rsid w:val="003E72B9"/>
    <w:rsid w:val="003E7311"/>
    <w:rsid w:val="003F0B1A"/>
    <w:rsid w:val="003F1DB9"/>
    <w:rsid w:val="003F41F0"/>
    <w:rsid w:val="003F47BA"/>
    <w:rsid w:val="003F5897"/>
    <w:rsid w:val="003F6617"/>
    <w:rsid w:val="003F726A"/>
    <w:rsid w:val="0040118D"/>
    <w:rsid w:val="00401529"/>
    <w:rsid w:val="0040569C"/>
    <w:rsid w:val="004067A1"/>
    <w:rsid w:val="00413D4C"/>
    <w:rsid w:val="00414A54"/>
    <w:rsid w:val="00414CE6"/>
    <w:rsid w:val="00414DA2"/>
    <w:rsid w:val="00415977"/>
    <w:rsid w:val="00415F25"/>
    <w:rsid w:val="00417BAA"/>
    <w:rsid w:val="004212F2"/>
    <w:rsid w:val="00422204"/>
    <w:rsid w:val="00422238"/>
    <w:rsid w:val="00422A10"/>
    <w:rsid w:val="00422CF5"/>
    <w:rsid w:val="00424A99"/>
    <w:rsid w:val="00425C8B"/>
    <w:rsid w:val="00425CCB"/>
    <w:rsid w:val="00427713"/>
    <w:rsid w:val="00430063"/>
    <w:rsid w:val="00430218"/>
    <w:rsid w:val="00432589"/>
    <w:rsid w:val="00432892"/>
    <w:rsid w:val="00432896"/>
    <w:rsid w:val="00432E8B"/>
    <w:rsid w:val="00433556"/>
    <w:rsid w:val="00433B60"/>
    <w:rsid w:val="00436AD4"/>
    <w:rsid w:val="004379E7"/>
    <w:rsid w:val="00441103"/>
    <w:rsid w:val="00441DF9"/>
    <w:rsid w:val="004420DF"/>
    <w:rsid w:val="004433CB"/>
    <w:rsid w:val="0044372F"/>
    <w:rsid w:val="00445A2F"/>
    <w:rsid w:val="00445D65"/>
    <w:rsid w:val="0044684E"/>
    <w:rsid w:val="00450311"/>
    <w:rsid w:val="00450555"/>
    <w:rsid w:val="00452AE1"/>
    <w:rsid w:val="00454347"/>
    <w:rsid w:val="004572F3"/>
    <w:rsid w:val="00460531"/>
    <w:rsid w:val="00460A50"/>
    <w:rsid w:val="00460E8F"/>
    <w:rsid w:val="00461EBA"/>
    <w:rsid w:val="00462D42"/>
    <w:rsid w:val="004633B9"/>
    <w:rsid w:val="00463AB2"/>
    <w:rsid w:val="00464261"/>
    <w:rsid w:val="00464D90"/>
    <w:rsid w:val="0046570E"/>
    <w:rsid w:val="0047119F"/>
    <w:rsid w:val="0047191D"/>
    <w:rsid w:val="00472489"/>
    <w:rsid w:val="00473128"/>
    <w:rsid w:val="00475A17"/>
    <w:rsid w:val="00475BF4"/>
    <w:rsid w:val="004761F2"/>
    <w:rsid w:val="004763CD"/>
    <w:rsid w:val="004770EE"/>
    <w:rsid w:val="004779D3"/>
    <w:rsid w:val="00477DBF"/>
    <w:rsid w:val="00480372"/>
    <w:rsid w:val="004816C9"/>
    <w:rsid w:val="00481FC3"/>
    <w:rsid w:val="0048204C"/>
    <w:rsid w:val="004826FE"/>
    <w:rsid w:val="00484B69"/>
    <w:rsid w:val="0048590F"/>
    <w:rsid w:val="00485961"/>
    <w:rsid w:val="004867A2"/>
    <w:rsid w:val="00486951"/>
    <w:rsid w:val="00486971"/>
    <w:rsid w:val="00486FD8"/>
    <w:rsid w:val="004879A0"/>
    <w:rsid w:val="00490A07"/>
    <w:rsid w:val="004921F9"/>
    <w:rsid w:val="00492A25"/>
    <w:rsid w:val="004930FB"/>
    <w:rsid w:val="0049585A"/>
    <w:rsid w:val="00495C30"/>
    <w:rsid w:val="004A0457"/>
    <w:rsid w:val="004A1405"/>
    <w:rsid w:val="004A2541"/>
    <w:rsid w:val="004A279F"/>
    <w:rsid w:val="004A2BFE"/>
    <w:rsid w:val="004A381E"/>
    <w:rsid w:val="004A5A21"/>
    <w:rsid w:val="004A5F1A"/>
    <w:rsid w:val="004A786A"/>
    <w:rsid w:val="004A7917"/>
    <w:rsid w:val="004A7EF2"/>
    <w:rsid w:val="004B011D"/>
    <w:rsid w:val="004B1FF5"/>
    <w:rsid w:val="004B29AC"/>
    <w:rsid w:val="004B3723"/>
    <w:rsid w:val="004B72F8"/>
    <w:rsid w:val="004C1137"/>
    <w:rsid w:val="004C4EF9"/>
    <w:rsid w:val="004C51FD"/>
    <w:rsid w:val="004C5987"/>
    <w:rsid w:val="004C6625"/>
    <w:rsid w:val="004C7393"/>
    <w:rsid w:val="004C7913"/>
    <w:rsid w:val="004D04ED"/>
    <w:rsid w:val="004D140D"/>
    <w:rsid w:val="004D1C9A"/>
    <w:rsid w:val="004D2499"/>
    <w:rsid w:val="004D29ED"/>
    <w:rsid w:val="004D35BA"/>
    <w:rsid w:val="004D377F"/>
    <w:rsid w:val="004D41DD"/>
    <w:rsid w:val="004D5599"/>
    <w:rsid w:val="004D5A11"/>
    <w:rsid w:val="004D618D"/>
    <w:rsid w:val="004D6250"/>
    <w:rsid w:val="004D655D"/>
    <w:rsid w:val="004E25A8"/>
    <w:rsid w:val="004E41FB"/>
    <w:rsid w:val="004E5F5C"/>
    <w:rsid w:val="004E6097"/>
    <w:rsid w:val="004E687A"/>
    <w:rsid w:val="004E6D9E"/>
    <w:rsid w:val="004E7B03"/>
    <w:rsid w:val="004F0446"/>
    <w:rsid w:val="004F06AC"/>
    <w:rsid w:val="004F2193"/>
    <w:rsid w:val="004F23AE"/>
    <w:rsid w:val="004F3879"/>
    <w:rsid w:val="004F47E9"/>
    <w:rsid w:val="004F52FA"/>
    <w:rsid w:val="004F53B2"/>
    <w:rsid w:val="004F6CA1"/>
    <w:rsid w:val="004F70FC"/>
    <w:rsid w:val="00500258"/>
    <w:rsid w:val="0050487A"/>
    <w:rsid w:val="0050766C"/>
    <w:rsid w:val="005128BE"/>
    <w:rsid w:val="00512D11"/>
    <w:rsid w:val="00513DC9"/>
    <w:rsid w:val="00513E7C"/>
    <w:rsid w:val="00514B04"/>
    <w:rsid w:val="0051608F"/>
    <w:rsid w:val="00524832"/>
    <w:rsid w:val="00524C5A"/>
    <w:rsid w:val="00526049"/>
    <w:rsid w:val="00526BC3"/>
    <w:rsid w:val="00526D89"/>
    <w:rsid w:val="005277FF"/>
    <w:rsid w:val="00527AE1"/>
    <w:rsid w:val="00530950"/>
    <w:rsid w:val="0053195D"/>
    <w:rsid w:val="00531E01"/>
    <w:rsid w:val="0053259B"/>
    <w:rsid w:val="00534BE3"/>
    <w:rsid w:val="00534D3F"/>
    <w:rsid w:val="00534FB8"/>
    <w:rsid w:val="00535291"/>
    <w:rsid w:val="0053798F"/>
    <w:rsid w:val="005403E1"/>
    <w:rsid w:val="00540631"/>
    <w:rsid w:val="00543A37"/>
    <w:rsid w:val="00543AF4"/>
    <w:rsid w:val="00543C6E"/>
    <w:rsid w:val="00544191"/>
    <w:rsid w:val="00544678"/>
    <w:rsid w:val="00544F39"/>
    <w:rsid w:val="005465D0"/>
    <w:rsid w:val="00547EFB"/>
    <w:rsid w:val="00550829"/>
    <w:rsid w:val="005531DF"/>
    <w:rsid w:val="00554151"/>
    <w:rsid w:val="00554F78"/>
    <w:rsid w:val="005556FD"/>
    <w:rsid w:val="00555834"/>
    <w:rsid w:val="005558BC"/>
    <w:rsid w:val="005566BC"/>
    <w:rsid w:val="0055679E"/>
    <w:rsid w:val="0055781F"/>
    <w:rsid w:val="0056186B"/>
    <w:rsid w:val="00561B7B"/>
    <w:rsid w:val="00563085"/>
    <w:rsid w:val="00565E69"/>
    <w:rsid w:val="005678DE"/>
    <w:rsid w:val="005702E4"/>
    <w:rsid w:val="00570986"/>
    <w:rsid w:val="0057145B"/>
    <w:rsid w:val="00571684"/>
    <w:rsid w:val="00572C50"/>
    <w:rsid w:val="00573733"/>
    <w:rsid w:val="00573EEF"/>
    <w:rsid w:val="00575A24"/>
    <w:rsid w:val="005779E4"/>
    <w:rsid w:val="005809E1"/>
    <w:rsid w:val="00581AD7"/>
    <w:rsid w:val="00582452"/>
    <w:rsid w:val="005836C7"/>
    <w:rsid w:val="00583B3B"/>
    <w:rsid w:val="00584E2C"/>
    <w:rsid w:val="00586C5C"/>
    <w:rsid w:val="00587C79"/>
    <w:rsid w:val="00590B77"/>
    <w:rsid w:val="005913A3"/>
    <w:rsid w:val="00591BEF"/>
    <w:rsid w:val="00592767"/>
    <w:rsid w:val="00593753"/>
    <w:rsid w:val="00593D5E"/>
    <w:rsid w:val="00595131"/>
    <w:rsid w:val="00595E24"/>
    <w:rsid w:val="005963DB"/>
    <w:rsid w:val="00596B03"/>
    <w:rsid w:val="00597E5B"/>
    <w:rsid w:val="00597ECA"/>
    <w:rsid w:val="005A1DEC"/>
    <w:rsid w:val="005A24F0"/>
    <w:rsid w:val="005A32F7"/>
    <w:rsid w:val="005A55BA"/>
    <w:rsid w:val="005A71E9"/>
    <w:rsid w:val="005A7328"/>
    <w:rsid w:val="005A7F37"/>
    <w:rsid w:val="005B07EC"/>
    <w:rsid w:val="005B0CF0"/>
    <w:rsid w:val="005B1C37"/>
    <w:rsid w:val="005B2A32"/>
    <w:rsid w:val="005B3341"/>
    <w:rsid w:val="005B34AA"/>
    <w:rsid w:val="005B35B0"/>
    <w:rsid w:val="005B5BEE"/>
    <w:rsid w:val="005B7552"/>
    <w:rsid w:val="005B77D2"/>
    <w:rsid w:val="005C0860"/>
    <w:rsid w:val="005C30F5"/>
    <w:rsid w:val="005C3779"/>
    <w:rsid w:val="005C6000"/>
    <w:rsid w:val="005C6B8B"/>
    <w:rsid w:val="005D02E3"/>
    <w:rsid w:val="005D05F5"/>
    <w:rsid w:val="005D107A"/>
    <w:rsid w:val="005D1A3D"/>
    <w:rsid w:val="005D1A53"/>
    <w:rsid w:val="005D1C87"/>
    <w:rsid w:val="005D1D98"/>
    <w:rsid w:val="005D39FD"/>
    <w:rsid w:val="005D3B54"/>
    <w:rsid w:val="005D57DA"/>
    <w:rsid w:val="005D6FA2"/>
    <w:rsid w:val="005D710D"/>
    <w:rsid w:val="005E2DAA"/>
    <w:rsid w:val="005E666A"/>
    <w:rsid w:val="005F002A"/>
    <w:rsid w:val="005F02F0"/>
    <w:rsid w:val="005F1516"/>
    <w:rsid w:val="005F229E"/>
    <w:rsid w:val="005F2D9A"/>
    <w:rsid w:val="005F3072"/>
    <w:rsid w:val="005F3D9D"/>
    <w:rsid w:val="005F4E52"/>
    <w:rsid w:val="005F5360"/>
    <w:rsid w:val="005F5889"/>
    <w:rsid w:val="005F61E5"/>
    <w:rsid w:val="005F6F0A"/>
    <w:rsid w:val="006000BE"/>
    <w:rsid w:val="0060058E"/>
    <w:rsid w:val="00602A3C"/>
    <w:rsid w:val="00602F1C"/>
    <w:rsid w:val="00604508"/>
    <w:rsid w:val="0060549F"/>
    <w:rsid w:val="0060750F"/>
    <w:rsid w:val="00607DE2"/>
    <w:rsid w:val="0061035A"/>
    <w:rsid w:val="0061110D"/>
    <w:rsid w:val="00611873"/>
    <w:rsid w:val="00613791"/>
    <w:rsid w:val="00614079"/>
    <w:rsid w:val="00615E13"/>
    <w:rsid w:val="00617BE1"/>
    <w:rsid w:val="00617EEE"/>
    <w:rsid w:val="00620352"/>
    <w:rsid w:val="0062055B"/>
    <w:rsid w:val="00621C0E"/>
    <w:rsid w:val="00623389"/>
    <w:rsid w:val="006247D0"/>
    <w:rsid w:val="0062615B"/>
    <w:rsid w:val="006268E4"/>
    <w:rsid w:val="006279FE"/>
    <w:rsid w:val="006330CA"/>
    <w:rsid w:val="0063413D"/>
    <w:rsid w:val="00634738"/>
    <w:rsid w:val="006363FA"/>
    <w:rsid w:val="00641AF8"/>
    <w:rsid w:val="00642A93"/>
    <w:rsid w:val="00642E16"/>
    <w:rsid w:val="00643664"/>
    <w:rsid w:val="00643CAA"/>
    <w:rsid w:val="00645EC9"/>
    <w:rsid w:val="00652C4C"/>
    <w:rsid w:val="00653CDE"/>
    <w:rsid w:val="0065407E"/>
    <w:rsid w:val="00660678"/>
    <w:rsid w:val="00661277"/>
    <w:rsid w:val="00661F62"/>
    <w:rsid w:val="006623D7"/>
    <w:rsid w:val="00663B40"/>
    <w:rsid w:val="00663FEA"/>
    <w:rsid w:val="00664803"/>
    <w:rsid w:val="00664E00"/>
    <w:rsid w:val="00665945"/>
    <w:rsid w:val="00665B3B"/>
    <w:rsid w:val="006663AC"/>
    <w:rsid w:val="00667BDE"/>
    <w:rsid w:val="00667EA7"/>
    <w:rsid w:val="00670F0F"/>
    <w:rsid w:val="00670F71"/>
    <w:rsid w:val="00673E94"/>
    <w:rsid w:val="00674B85"/>
    <w:rsid w:val="006751BA"/>
    <w:rsid w:val="006758A8"/>
    <w:rsid w:val="006772C9"/>
    <w:rsid w:val="00677641"/>
    <w:rsid w:val="006777FB"/>
    <w:rsid w:val="00677BF4"/>
    <w:rsid w:val="00682F28"/>
    <w:rsid w:val="0068336F"/>
    <w:rsid w:val="00683AD6"/>
    <w:rsid w:val="006847B1"/>
    <w:rsid w:val="00684BDF"/>
    <w:rsid w:val="00684DC5"/>
    <w:rsid w:val="006858F0"/>
    <w:rsid w:val="006879E5"/>
    <w:rsid w:val="00690437"/>
    <w:rsid w:val="00690E65"/>
    <w:rsid w:val="00692AAF"/>
    <w:rsid w:val="00693FB7"/>
    <w:rsid w:val="006946A7"/>
    <w:rsid w:val="00695421"/>
    <w:rsid w:val="00697DFA"/>
    <w:rsid w:val="006A0A00"/>
    <w:rsid w:val="006A6012"/>
    <w:rsid w:val="006A7210"/>
    <w:rsid w:val="006A7BE3"/>
    <w:rsid w:val="006B01D1"/>
    <w:rsid w:val="006B05E5"/>
    <w:rsid w:val="006B0AE2"/>
    <w:rsid w:val="006B0F39"/>
    <w:rsid w:val="006B15CC"/>
    <w:rsid w:val="006B18C3"/>
    <w:rsid w:val="006B266D"/>
    <w:rsid w:val="006B2FD5"/>
    <w:rsid w:val="006B4589"/>
    <w:rsid w:val="006B48DE"/>
    <w:rsid w:val="006B4D33"/>
    <w:rsid w:val="006B5EFA"/>
    <w:rsid w:val="006B6269"/>
    <w:rsid w:val="006B6FEE"/>
    <w:rsid w:val="006B7ABB"/>
    <w:rsid w:val="006C4F0E"/>
    <w:rsid w:val="006C5379"/>
    <w:rsid w:val="006C5F01"/>
    <w:rsid w:val="006C6E21"/>
    <w:rsid w:val="006C7798"/>
    <w:rsid w:val="006C7B02"/>
    <w:rsid w:val="006D009D"/>
    <w:rsid w:val="006D0C1D"/>
    <w:rsid w:val="006D3D09"/>
    <w:rsid w:val="006D415B"/>
    <w:rsid w:val="006D5532"/>
    <w:rsid w:val="006D7C85"/>
    <w:rsid w:val="006E0976"/>
    <w:rsid w:val="006E231B"/>
    <w:rsid w:val="006E24E1"/>
    <w:rsid w:val="006E3DFD"/>
    <w:rsid w:val="006E5DD8"/>
    <w:rsid w:val="006E67AA"/>
    <w:rsid w:val="006E7AA8"/>
    <w:rsid w:val="006F00EF"/>
    <w:rsid w:val="006F0291"/>
    <w:rsid w:val="006F0D98"/>
    <w:rsid w:val="006F2F2A"/>
    <w:rsid w:val="006F3231"/>
    <w:rsid w:val="006F3D7D"/>
    <w:rsid w:val="006F3DE3"/>
    <w:rsid w:val="006F4BF8"/>
    <w:rsid w:val="006F547F"/>
    <w:rsid w:val="006F5A12"/>
    <w:rsid w:val="006F6567"/>
    <w:rsid w:val="006F6AD5"/>
    <w:rsid w:val="006F70BC"/>
    <w:rsid w:val="006F7E1F"/>
    <w:rsid w:val="006F7F32"/>
    <w:rsid w:val="00702389"/>
    <w:rsid w:val="00702530"/>
    <w:rsid w:val="0070296A"/>
    <w:rsid w:val="00702A3B"/>
    <w:rsid w:val="00702D72"/>
    <w:rsid w:val="0070490E"/>
    <w:rsid w:val="00704A47"/>
    <w:rsid w:val="00707A90"/>
    <w:rsid w:val="00707E95"/>
    <w:rsid w:val="00711DC8"/>
    <w:rsid w:val="00714576"/>
    <w:rsid w:val="00714F54"/>
    <w:rsid w:val="00715837"/>
    <w:rsid w:val="00721F0C"/>
    <w:rsid w:val="00721F4A"/>
    <w:rsid w:val="00722033"/>
    <w:rsid w:val="007229D4"/>
    <w:rsid w:val="00724044"/>
    <w:rsid w:val="007267FD"/>
    <w:rsid w:val="0072791A"/>
    <w:rsid w:val="007310B9"/>
    <w:rsid w:val="00731B09"/>
    <w:rsid w:val="007332B8"/>
    <w:rsid w:val="00733FDB"/>
    <w:rsid w:val="00734A30"/>
    <w:rsid w:val="007366F9"/>
    <w:rsid w:val="00743818"/>
    <w:rsid w:val="00743BA9"/>
    <w:rsid w:val="00744517"/>
    <w:rsid w:val="007450CE"/>
    <w:rsid w:val="007457E0"/>
    <w:rsid w:val="00746D71"/>
    <w:rsid w:val="007478C5"/>
    <w:rsid w:val="00747DE2"/>
    <w:rsid w:val="00751656"/>
    <w:rsid w:val="007526EC"/>
    <w:rsid w:val="00752B53"/>
    <w:rsid w:val="00753CEE"/>
    <w:rsid w:val="00753F15"/>
    <w:rsid w:val="00753F40"/>
    <w:rsid w:val="00754641"/>
    <w:rsid w:val="00755813"/>
    <w:rsid w:val="00756521"/>
    <w:rsid w:val="00756AB7"/>
    <w:rsid w:val="007572AB"/>
    <w:rsid w:val="0076155A"/>
    <w:rsid w:val="00762354"/>
    <w:rsid w:val="00763189"/>
    <w:rsid w:val="007632F4"/>
    <w:rsid w:val="007666AA"/>
    <w:rsid w:val="00766720"/>
    <w:rsid w:val="00766B4B"/>
    <w:rsid w:val="00767435"/>
    <w:rsid w:val="007674D1"/>
    <w:rsid w:val="00767509"/>
    <w:rsid w:val="00770471"/>
    <w:rsid w:val="007705C5"/>
    <w:rsid w:val="00772586"/>
    <w:rsid w:val="007725BD"/>
    <w:rsid w:val="007726A6"/>
    <w:rsid w:val="00773AA7"/>
    <w:rsid w:val="0077693F"/>
    <w:rsid w:val="007773E9"/>
    <w:rsid w:val="007804E1"/>
    <w:rsid w:val="0078051E"/>
    <w:rsid w:val="00784A24"/>
    <w:rsid w:val="007857E1"/>
    <w:rsid w:val="00794625"/>
    <w:rsid w:val="007966FC"/>
    <w:rsid w:val="00797046"/>
    <w:rsid w:val="007A01DC"/>
    <w:rsid w:val="007A0332"/>
    <w:rsid w:val="007A09B7"/>
    <w:rsid w:val="007A1029"/>
    <w:rsid w:val="007A1CE0"/>
    <w:rsid w:val="007A20D1"/>
    <w:rsid w:val="007A3ED8"/>
    <w:rsid w:val="007A4B79"/>
    <w:rsid w:val="007A5161"/>
    <w:rsid w:val="007A5526"/>
    <w:rsid w:val="007A7863"/>
    <w:rsid w:val="007A799E"/>
    <w:rsid w:val="007A7FFA"/>
    <w:rsid w:val="007B0297"/>
    <w:rsid w:val="007B1609"/>
    <w:rsid w:val="007B191B"/>
    <w:rsid w:val="007B1FBE"/>
    <w:rsid w:val="007B21AE"/>
    <w:rsid w:val="007B3A20"/>
    <w:rsid w:val="007B4C40"/>
    <w:rsid w:val="007B6D64"/>
    <w:rsid w:val="007B716A"/>
    <w:rsid w:val="007B7293"/>
    <w:rsid w:val="007C0525"/>
    <w:rsid w:val="007C07B4"/>
    <w:rsid w:val="007C22F7"/>
    <w:rsid w:val="007C37FC"/>
    <w:rsid w:val="007C5F21"/>
    <w:rsid w:val="007C6882"/>
    <w:rsid w:val="007C7FFA"/>
    <w:rsid w:val="007D0C40"/>
    <w:rsid w:val="007D240C"/>
    <w:rsid w:val="007D3A63"/>
    <w:rsid w:val="007D3B86"/>
    <w:rsid w:val="007D4848"/>
    <w:rsid w:val="007D5FDC"/>
    <w:rsid w:val="007E1824"/>
    <w:rsid w:val="007E4147"/>
    <w:rsid w:val="007E4A9C"/>
    <w:rsid w:val="007E7DF9"/>
    <w:rsid w:val="007F0730"/>
    <w:rsid w:val="007F1638"/>
    <w:rsid w:val="007F7E4C"/>
    <w:rsid w:val="0080015B"/>
    <w:rsid w:val="0080110C"/>
    <w:rsid w:val="008014FC"/>
    <w:rsid w:val="00801FE6"/>
    <w:rsid w:val="00803F25"/>
    <w:rsid w:val="008041E4"/>
    <w:rsid w:val="00804A94"/>
    <w:rsid w:val="008055A9"/>
    <w:rsid w:val="00810E8E"/>
    <w:rsid w:val="008124D0"/>
    <w:rsid w:val="00813F96"/>
    <w:rsid w:val="008148A2"/>
    <w:rsid w:val="00817B9C"/>
    <w:rsid w:val="008214AE"/>
    <w:rsid w:val="00821B22"/>
    <w:rsid w:val="00821CAD"/>
    <w:rsid w:val="00822771"/>
    <w:rsid w:val="00822C60"/>
    <w:rsid w:val="00826AB9"/>
    <w:rsid w:val="00827AE7"/>
    <w:rsid w:val="00827CA8"/>
    <w:rsid w:val="00827E0F"/>
    <w:rsid w:val="00830CF4"/>
    <w:rsid w:val="008325B9"/>
    <w:rsid w:val="0083279F"/>
    <w:rsid w:val="00833B7F"/>
    <w:rsid w:val="0083524E"/>
    <w:rsid w:val="00835292"/>
    <w:rsid w:val="00835BC6"/>
    <w:rsid w:val="008373AB"/>
    <w:rsid w:val="00841B45"/>
    <w:rsid w:val="008430C0"/>
    <w:rsid w:val="00843114"/>
    <w:rsid w:val="00843F81"/>
    <w:rsid w:val="00847F0B"/>
    <w:rsid w:val="008511E8"/>
    <w:rsid w:val="00852F21"/>
    <w:rsid w:val="00853BF4"/>
    <w:rsid w:val="008577FF"/>
    <w:rsid w:val="00857DE2"/>
    <w:rsid w:val="00860A1F"/>
    <w:rsid w:val="008614B2"/>
    <w:rsid w:val="0086465C"/>
    <w:rsid w:val="00864E79"/>
    <w:rsid w:val="008668AB"/>
    <w:rsid w:val="00866A0D"/>
    <w:rsid w:val="00870582"/>
    <w:rsid w:val="0087186D"/>
    <w:rsid w:val="00872A32"/>
    <w:rsid w:val="00872B79"/>
    <w:rsid w:val="008747F1"/>
    <w:rsid w:val="00875002"/>
    <w:rsid w:val="008754DF"/>
    <w:rsid w:val="00875FC8"/>
    <w:rsid w:val="00876B58"/>
    <w:rsid w:val="00882B44"/>
    <w:rsid w:val="00883C8C"/>
    <w:rsid w:val="008841E3"/>
    <w:rsid w:val="00884344"/>
    <w:rsid w:val="008856F8"/>
    <w:rsid w:val="00886063"/>
    <w:rsid w:val="008871B0"/>
    <w:rsid w:val="00890316"/>
    <w:rsid w:val="0089253D"/>
    <w:rsid w:val="00892740"/>
    <w:rsid w:val="0089289F"/>
    <w:rsid w:val="00895D9A"/>
    <w:rsid w:val="00896351"/>
    <w:rsid w:val="008A0CB2"/>
    <w:rsid w:val="008A0FC9"/>
    <w:rsid w:val="008A234C"/>
    <w:rsid w:val="008A40D3"/>
    <w:rsid w:val="008A42EB"/>
    <w:rsid w:val="008A6BCC"/>
    <w:rsid w:val="008B09C4"/>
    <w:rsid w:val="008B173A"/>
    <w:rsid w:val="008B1E76"/>
    <w:rsid w:val="008B2E7C"/>
    <w:rsid w:val="008B784D"/>
    <w:rsid w:val="008B7FA7"/>
    <w:rsid w:val="008C13AA"/>
    <w:rsid w:val="008C1DA4"/>
    <w:rsid w:val="008C28CC"/>
    <w:rsid w:val="008C2CD5"/>
    <w:rsid w:val="008C3618"/>
    <w:rsid w:val="008C4771"/>
    <w:rsid w:val="008C54E1"/>
    <w:rsid w:val="008C731F"/>
    <w:rsid w:val="008D1C7F"/>
    <w:rsid w:val="008D1E23"/>
    <w:rsid w:val="008D309E"/>
    <w:rsid w:val="008D3902"/>
    <w:rsid w:val="008D5B9A"/>
    <w:rsid w:val="008D641D"/>
    <w:rsid w:val="008D7155"/>
    <w:rsid w:val="008D71B6"/>
    <w:rsid w:val="008E0FF9"/>
    <w:rsid w:val="008E3674"/>
    <w:rsid w:val="008E3825"/>
    <w:rsid w:val="008E3DC5"/>
    <w:rsid w:val="008E5D30"/>
    <w:rsid w:val="008E6687"/>
    <w:rsid w:val="008E6792"/>
    <w:rsid w:val="008E6856"/>
    <w:rsid w:val="008E6D1D"/>
    <w:rsid w:val="008E7245"/>
    <w:rsid w:val="008F177A"/>
    <w:rsid w:val="008F2FFA"/>
    <w:rsid w:val="008F5C6A"/>
    <w:rsid w:val="008F6532"/>
    <w:rsid w:val="008F69B8"/>
    <w:rsid w:val="008F7DFB"/>
    <w:rsid w:val="00900555"/>
    <w:rsid w:val="0090059A"/>
    <w:rsid w:val="00901192"/>
    <w:rsid w:val="009027F2"/>
    <w:rsid w:val="00902EE1"/>
    <w:rsid w:val="00905D7E"/>
    <w:rsid w:val="00906215"/>
    <w:rsid w:val="00906630"/>
    <w:rsid w:val="00906F6E"/>
    <w:rsid w:val="00910798"/>
    <w:rsid w:val="009134FC"/>
    <w:rsid w:val="0091405C"/>
    <w:rsid w:val="00914329"/>
    <w:rsid w:val="009156DA"/>
    <w:rsid w:val="00915EC2"/>
    <w:rsid w:val="00917412"/>
    <w:rsid w:val="00917F30"/>
    <w:rsid w:val="00920104"/>
    <w:rsid w:val="00920184"/>
    <w:rsid w:val="00920EA4"/>
    <w:rsid w:val="00921254"/>
    <w:rsid w:val="0092150B"/>
    <w:rsid w:val="009216F9"/>
    <w:rsid w:val="00922303"/>
    <w:rsid w:val="00926500"/>
    <w:rsid w:val="009266EA"/>
    <w:rsid w:val="00926ABC"/>
    <w:rsid w:val="00927B37"/>
    <w:rsid w:val="0093160E"/>
    <w:rsid w:val="00932156"/>
    <w:rsid w:val="009336B2"/>
    <w:rsid w:val="00933981"/>
    <w:rsid w:val="00934DD7"/>
    <w:rsid w:val="00937853"/>
    <w:rsid w:val="00937FC3"/>
    <w:rsid w:val="00941396"/>
    <w:rsid w:val="00941448"/>
    <w:rsid w:val="00941723"/>
    <w:rsid w:val="00942306"/>
    <w:rsid w:val="00942A33"/>
    <w:rsid w:val="00943FFC"/>
    <w:rsid w:val="00945225"/>
    <w:rsid w:val="009454F3"/>
    <w:rsid w:val="009458B0"/>
    <w:rsid w:val="00947424"/>
    <w:rsid w:val="009478A2"/>
    <w:rsid w:val="009503A9"/>
    <w:rsid w:val="00950884"/>
    <w:rsid w:val="009508A2"/>
    <w:rsid w:val="0095197E"/>
    <w:rsid w:val="00951DBF"/>
    <w:rsid w:val="00952507"/>
    <w:rsid w:val="00953078"/>
    <w:rsid w:val="00953276"/>
    <w:rsid w:val="00953508"/>
    <w:rsid w:val="00955FBB"/>
    <w:rsid w:val="00956585"/>
    <w:rsid w:val="00956A66"/>
    <w:rsid w:val="00956BD5"/>
    <w:rsid w:val="009577B5"/>
    <w:rsid w:val="009616E7"/>
    <w:rsid w:val="0096269B"/>
    <w:rsid w:val="00965664"/>
    <w:rsid w:val="00965816"/>
    <w:rsid w:val="00966253"/>
    <w:rsid w:val="00966522"/>
    <w:rsid w:val="00967329"/>
    <w:rsid w:val="009676C1"/>
    <w:rsid w:val="00970FFF"/>
    <w:rsid w:val="00971C95"/>
    <w:rsid w:val="00971CF1"/>
    <w:rsid w:val="0097286F"/>
    <w:rsid w:val="00976805"/>
    <w:rsid w:val="0097723F"/>
    <w:rsid w:val="00980777"/>
    <w:rsid w:val="009819B7"/>
    <w:rsid w:val="00982F8E"/>
    <w:rsid w:val="00983E22"/>
    <w:rsid w:val="0098534E"/>
    <w:rsid w:val="009859DD"/>
    <w:rsid w:val="00985C3D"/>
    <w:rsid w:val="009864E0"/>
    <w:rsid w:val="00990225"/>
    <w:rsid w:val="00992EB6"/>
    <w:rsid w:val="009934DA"/>
    <w:rsid w:val="00995D67"/>
    <w:rsid w:val="009A0482"/>
    <w:rsid w:val="009A303A"/>
    <w:rsid w:val="009A453B"/>
    <w:rsid w:val="009A6316"/>
    <w:rsid w:val="009A6559"/>
    <w:rsid w:val="009A6C49"/>
    <w:rsid w:val="009B1C2B"/>
    <w:rsid w:val="009B20F5"/>
    <w:rsid w:val="009B21F6"/>
    <w:rsid w:val="009B2F9B"/>
    <w:rsid w:val="009B3647"/>
    <w:rsid w:val="009B4A6C"/>
    <w:rsid w:val="009B5801"/>
    <w:rsid w:val="009B731D"/>
    <w:rsid w:val="009C01A4"/>
    <w:rsid w:val="009C1A29"/>
    <w:rsid w:val="009C34D1"/>
    <w:rsid w:val="009C360E"/>
    <w:rsid w:val="009C36FF"/>
    <w:rsid w:val="009C6322"/>
    <w:rsid w:val="009C64A2"/>
    <w:rsid w:val="009C6CE5"/>
    <w:rsid w:val="009C6D50"/>
    <w:rsid w:val="009C7244"/>
    <w:rsid w:val="009C7321"/>
    <w:rsid w:val="009D0935"/>
    <w:rsid w:val="009D1878"/>
    <w:rsid w:val="009D1B1D"/>
    <w:rsid w:val="009D2F60"/>
    <w:rsid w:val="009D526D"/>
    <w:rsid w:val="009D6DD9"/>
    <w:rsid w:val="009D7321"/>
    <w:rsid w:val="009D77B3"/>
    <w:rsid w:val="009E0C5F"/>
    <w:rsid w:val="009E24FE"/>
    <w:rsid w:val="009E4070"/>
    <w:rsid w:val="009E444E"/>
    <w:rsid w:val="009E4857"/>
    <w:rsid w:val="009E6480"/>
    <w:rsid w:val="009E693D"/>
    <w:rsid w:val="009E7554"/>
    <w:rsid w:val="009F1A79"/>
    <w:rsid w:val="009F252C"/>
    <w:rsid w:val="009F3160"/>
    <w:rsid w:val="009F42FB"/>
    <w:rsid w:val="009F49DC"/>
    <w:rsid w:val="009F4C84"/>
    <w:rsid w:val="009F5C8C"/>
    <w:rsid w:val="009F65F4"/>
    <w:rsid w:val="009F676B"/>
    <w:rsid w:val="009F69AF"/>
    <w:rsid w:val="009F7A77"/>
    <w:rsid w:val="00A00C70"/>
    <w:rsid w:val="00A0146E"/>
    <w:rsid w:val="00A01B03"/>
    <w:rsid w:val="00A01B5D"/>
    <w:rsid w:val="00A02169"/>
    <w:rsid w:val="00A02C66"/>
    <w:rsid w:val="00A0464C"/>
    <w:rsid w:val="00A046FE"/>
    <w:rsid w:val="00A04E0A"/>
    <w:rsid w:val="00A05464"/>
    <w:rsid w:val="00A054E0"/>
    <w:rsid w:val="00A06D10"/>
    <w:rsid w:val="00A11042"/>
    <w:rsid w:val="00A116F8"/>
    <w:rsid w:val="00A11C37"/>
    <w:rsid w:val="00A132F6"/>
    <w:rsid w:val="00A133D8"/>
    <w:rsid w:val="00A155EB"/>
    <w:rsid w:val="00A15DE9"/>
    <w:rsid w:val="00A168A2"/>
    <w:rsid w:val="00A17226"/>
    <w:rsid w:val="00A17BA5"/>
    <w:rsid w:val="00A20672"/>
    <w:rsid w:val="00A245BF"/>
    <w:rsid w:val="00A24FEA"/>
    <w:rsid w:val="00A25A00"/>
    <w:rsid w:val="00A265E5"/>
    <w:rsid w:val="00A269F6"/>
    <w:rsid w:val="00A30B84"/>
    <w:rsid w:val="00A3467F"/>
    <w:rsid w:val="00A35262"/>
    <w:rsid w:val="00A3532F"/>
    <w:rsid w:val="00A36F93"/>
    <w:rsid w:val="00A37F8E"/>
    <w:rsid w:val="00A4177F"/>
    <w:rsid w:val="00A43237"/>
    <w:rsid w:val="00A45455"/>
    <w:rsid w:val="00A45CAB"/>
    <w:rsid w:val="00A4706F"/>
    <w:rsid w:val="00A47ECC"/>
    <w:rsid w:val="00A47FD7"/>
    <w:rsid w:val="00A50171"/>
    <w:rsid w:val="00A5102E"/>
    <w:rsid w:val="00A51E08"/>
    <w:rsid w:val="00A52282"/>
    <w:rsid w:val="00A5334E"/>
    <w:rsid w:val="00A552BC"/>
    <w:rsid w:val="00A563A2"/>
    <w:rsid w:val="00A563F6"/>
    <w:rsid w:val="00A575B8"/>
    <w:rsid w:val="00A6032D"/>
    <w:rsid w:val="00A61753"/>
    <w:rsid w:val="00A6206B"/>
    <w:rsid w:val="00A62774"/>
    <w:rsid w:val="00A642E5"/>
    <w:rsid w:val="00A6451C"/>
    <w:rsid w:val="00A647B1"/>
    <w:rsid w:val="00A6499A"/>
    <w:rsid w:val="00A6606B"/>
    <w:rsid w:val="00A676E7"/>
    <w:rsid w:val="00A67B72"/>
    <w:rsid w:val="00A70216"/>
    <w:rsid w:val="00A71B35"/>
    <w:rsid w:val="00A72BC3"/>
    <w:rsid w:val="00A736F5"/>
    <w:rsid w:val="00A739A6"/>
    <w:rsid w:val="00A75FE0"/>
    <w:rsid w:val="00A7665D"/>
    <w:rsid w:val="00A76A2D"/>
    <w:rsid w:val="00A76EE4"/>
    <w:rsid w:val="00A82F56"/>
    <w:rsid w:val="00A82FE9"/>
    <w:rsid w:val="00A83AFC"/>
    <w:rsid w:val="00A86B91"/>
    <w:rsid w:val="00A90F5E"/>
    <w:rsid w:val="00A92155"/>
    <w:rsid w:val="00A9246D"/>
    <w:rsid w:val="00A97821"/>
    <w:rsid w:val="00AA02B2"/>
    <w:rsid w:val="00AA2B5C"/>
    <w:rsid w:val="00AA2F64"/>
    <w:rsid w:val="00AA313A"/>
    <w:rsid w:val="00AA577F"/>
    <w:rsid w:val="00AA6328"/>
    <w:rsid w:val="00AB03FD"/>
    <w:rsid w:val="00AB1042"/>
    <w:rsid w:val="00AB1246"/>
    <w:rsid w:val="00AB1375"/>
    <w:rsid w:val="00AB270B"/>
    <w:rsid w:val="00AB38CB"/>
    <w:rsid w:val="00AB524D"/>
    <w:rsid w:val="00AB577E"/>
    <w:rsid w:val="00AB67EB"/>
    <w:rsid w:val="00AB6EE0"/>
    <w:rsid w:val="00AB726F"/>
    <w:rsid w:val="00AC0213"/>
    <w:rsid w:val="00AC2884"/>
    <w:rsid w:val="00AC4725"/>
    <w:rsid w:val="00AC6052"/>
    <w:rsid w:val="00AC6060"/>
    <w:rsid w:val="00AC79A6"/>
    <w:rsid w:val="00AC7C7D"/>
    <w:rsid w:val="00AD4467"/>
    <w:rsid w:val="00AD5996"/>
    <w:rsid w:val="00AD5E0C"/>
    <w:rsid w:val="00AD5E70"/>
    <w:rsid w:val="00AD6206"/>
    <w:rsid w:val="00AD6372"/>
    <w:rsid w:val="00AD777D"/>
    <w:rsid w:val="00AE06B4"/>
    <w:rsid w:val="00AE0D67"/>
    <w:rsid w:val="00AE123A"/>
    <w:rsid w:val="00AE17E5"/>
    <w:rsid w:val="00AE2583"/>
    <w:rsid w:val="00AE2BBF"/>
    <w:rsid w:val="00AE33A6"/>
    <w:rsid w:val="00AE3B97"/>
    <w:rsid w:val="00AE71DF"/>
    <w:rsid w:val="00AF1962"/>
    <w:rsid w:val="00AF2241"/>
    <w:rsid w:val="00AF3ADA"/>
    <w:rsid w:val="00AF45DB"/>
    <w:rsid w:val="00AF59DA"/>
    <w:rsid w:val="00AF7163"/>
    <w:rsid w:val="00AF78B9"/>
    <w:rsid w:val="00AF7941"/>
    <w:rsid w:val="00B00021"/>
    <w:rsid w:val="00B012FD"/>
    <w:rsid w:val="00B02365"/>
    <w:rsid w:val="00B02C1E"/>
    <w:rsid w:val="00B02F60"/>
    <w:rsid w:val="00B037A4"/>
    <w:rsid w:val="00B0440E"/>
    <w:rsid w:val="00B0561D"/>
    <w:rsid w:val="00B05BE8"/>
    <w:rsid w:val="00B05DAB"/>
    <w:rsid w:val="00B05F86"/>
    <w:rsid w:val="00B07367"/>
    <w:rsid w:val="00B073FE"/>
    <w:rsid w:val="00B10050"/>
    <w:rsid w:val="00B10F5A"/>
    <w:rsid w:val="00B11418"/>
    <w:rsid w:val="00B115E6"/>
    <w:rsid w:val="00B129EA"/>
    <w:rsid w:val="00B1364A"/>
    <w:rsid w:val="00B148C0"/>
    <w:rsid w:val="00B14B75"/>
    <w:rsid w:val="00B15F2B"/>
    <w:rsid w:val="00B17220"/>
    <w:rsid w:val="00B20BA1"/>
    <w:rsid w:val="00B20F18"/>
    <w:rsid w:val="00B21849"/>
    <w:rsid w:val="00B220B7"/>
    <w:rsid w:val="00B23239"/>
    <w:rsid w:val="00B23738"/>
    <w:rsid w:val="00B25EE6"/>
    <w:rsid w:val="00B32301"/>
    <w:rsid w:val="00B32BED"/>
    <w:rsid w:val="00B33375"/>
    <w:rsid w:val="00B34566"/>
    <w:rsid w:val="00B34BFA"/>
    <w:rsid w:val="00B354E9"/>
    <w:rsid w:val="00B42CFF"/>
    <w:rsid w:val="00B43D45"/>
    <w:rsid w:val="00B44779"/>
    <w:rsid w:val="00B44B64"/>
    <w:rsid w:val="00B501FE"/>
    <w:rsid w:val="00B50234"/>
    <w:rsid w:val="00B504F7"/>
    <w:rsid w:val="00B50CA4"/>
    <w:rsid w:val="00B51D56"/>
    <w:rsid w:val="00B52C68"/>
    <w:rsid w:val="00B561DB"/>
    <w:rsid w:val="00B56F25"/>
    <w:rsid w:val="00B571DD"/>
    <w:rsid w:val="00B61BD8"/>
    <w:rsid w:val="00B61E67"/>
    <w:rsid w:val="00B64518"/>
    <w:rsid w:val="00B65D0F"/>
    <w:rsid w:val="00B66FE5"/>
    <w:rsid w:val="00B70AE9"/>
    <w:rsid w:val="00B71051"/>
    <w:rsid w:val="00B718EB"/>
    <w:rsid w:val="00B72454"/>
    <w:rsid w:val="00B73BA1"/>
    <w:rsid w:val="00B7562B"/>
    <w:rsid w:val="00B767C3"/>
    <w:rsid w:val="00B76D1D"/>
    <w:rsid w:val="00B7768F"/>
    <w:rsid w:val="00B80270"/>
    <w:rsid w:val="00B837C5"/>
    <w:rsid w:val="00B858A0"/>
    <w:rsid w:val="00B85A85"/>
    <w:rsid w:val="00B913E4"/>
    <w:rsid w:val="00B934C6"/>
    <w:rsid w:val="00B95143"/>
    <w:rsid w:val="00BA1440"/>
    <w:rsid w:val="00BA21C8"/>
    <w:rsid w:val="00BA4524"/>
    <w:rsid w:val="00BA478B"/>
    <w:rsid w:val="00BA51E2"/>
    <w:rsid w:val="00BB0B03"/>
    <w:rsid w:val="00BB1E2B"/>
    <w:rsid w:val="00BB26D0"/>
    <w:rsid w:val="00BB41E5"/>
    <w:rsid w:val="00BB4B75"/>
    <w:rsid w:val="00BB6EFC"/>
    <w:rsid w:val="00BB7058"/>
    <w:rsid w:val="00BB7742"/>
    <w:rsid w:val="00BC08C9"/>
    <w:rsid w:val="00BC516E"/>
    <w:rsid w:val="00BC6E73"/>
    <w:rsid w:val="00BD086E"/>
    <w:rsid w:val="00BD413F"/>
    <w:rsid w:val="00BD5134"/>
    <w:rsid w:val="00BD6EF9"/>
    <w:rsid w:val="00BD7785"/>
    <w:rsid w:val="00BD7B85"/>
    <w:rsid w:val="00BE1CD8"/>
    <w:rsid w:val="00BE2457"/>
    <w:rsid w:val="00BE2912"/>
    <w:rsid w:val="00BE4B51"/>
    <w:rsid w:val="00BE51CA"/>
    <w:rsid w:val="00BE79A5"/>
    <w:rsid w:val="00BE7E34"/>
    <w:rsid w:val="00BE7E42"/>
    <w:rsid w:val="00BF0806"/>
    <w:rsid w:val="00BF0AC2"/>
    <w:rsid w:val="00BF1945"/>
    <w:rsid w:val="00BF278E"/>
    <w:rsid w:val="00BF33B3"/>
    <w:rsid w:val="00BF3538"/>
    <w:rsid w:val="00BF36F6"/>
    <w:rsid w:val="00BF3EE5"/>
    <w:rsid w:val="00BF4342"/>
    <w:rsid w:val="00BF4F21"/>
    <w:rsid w:val="00BF5DEF"/>
    <w:rsid w:val="00BF5E1F"/>
    <w:rsid w:val="00BF6DB4"/>
    <w:rsid w:val="00BF746D"/>
    <w:rsid w:val="00C003F9"/>
    <w:rsid w:val="00C011B8"/>
    <w:rsid w:val="00C012F6"/>
    <w:rsid w:val="00C017FE"/>
    <w:rsid w:val="00C03581"/>
    <w:rsid w:val="00C04898"/>
    <w:rsid w:val="00C04AAA"/>
    <w:rsid w:val="00C058AF"/>
    <w:rsid w:val="00C062E6"/>
    <w:rsid w:val="00C11343"/>
    <w:rsid w:val="00C11C07"/>
    <w:rsid w:val="00C126BE"/>
    <w:rsid w:val="00C128AE"/>
    <w:rsid w:val="00C13739"/>
    <w:rsid w:val="00C1373D"/>
    <w:rsid w:val="00C141FE"/>
    <w:rsid w:val="00C144D9"/>
    <w:rsid w:val="00C14915"/>
    <w:rsid w:val="00C1656E"/>
    <w:rsid w:val="00C20F27"/>
    <w:rsid w:val="00C22B0D"/>
    <w:rsid w:val="00C22E35"/>
    <w:rsid w:val="00C2518C"/>
    <w:rsid w:val="00C260A4"/>
    <w:rsid w:val="00C269D2"/>
    <w:rsid w:val="00C26CE9"/>
    <w:rsid w:val="00C26F08"/>
    <w:rsid w:val="00C310A4"/>
    <w:rsid w:val="00C31382"/>
    <w:rsid w:val="00C330B8"/>
    <w:rsid w:val="00C35B31"/>
    <w:rsid w:val="00C360B3"/>
    <w:rsid w:val="00C36AD3"/>
    <w:rsid w:val="00C37027"/>
    <w:rsid w:val="00C40D83"/>
    <w:rsid w:val="00C40F25"/>
    <w:rsid w:val="00C43670"/>
    <w:rsid w:val="00C4414B"/>
    <w:rsid w:val="00C46217"/>
    <w:rsid w:val="00C4698D"/>
    <w:rsid w:val="00C46A94"/>
    <w:rsid w:val="00C51178"/>
    <w:rsid w:val="00C52479"/>
    <w:rsid w:val="00C52C59"/>
    <w:rsid w:val="00C5383F"/>
    <w:rsid w:val="00C540B7"/>
    <w:rsid w:val="00C54D3D"/>
    <w:rsid w:val="00C55690"/>
    <w:rsid w:val="00C60381"/>
    <w:rsid w:val="00C61CFF"/>
    <w:rsid w:val="00C642D3"/>
    <w:rsid w:val="00C64338"/>
    <w:rsid w:val="00C6490C"/>
    <w:rsid w:val="00C64FE7"/>
    <w:rsid w:val="00C71433"/>
    <w:rsid w:val="00C73100"/>
    <w:rsid w:val="00C74ADB"/>
    <w:rsid w:val="00C75B5B"/>
    <w:rsid w:val="00C8063F"/>
    <w:rsid w:val="00C828DB"/>
    <w:rsid w:val="00C82A71"/>
    <w:rsid w:val="00C82EA6"/>
    <w:rsid w:val="00C87879"/>
    <w:rsid w:val="00C87CFD"/>
    <w:rsid w:val="00C975C2"/>
    <w:rsid w:val="00CA05D3"/>
    <w:rsid w:val="00CA25C0"/>
    <w:rsid w:val="00CA28B6"/>
    <w:rsid w:val="00CA3524"/>
    <w:rsid w:val="00CA4948"/>
    <w:rsid w:val="00CA4F8D"/>
    <w:rsid w:val="00CA513D"/>
    <w:rsid w:val="00CA6441"/>
    <w:rsid w:val="00CA7853"/>
    <w:rsid w:val="00CA7891"/>
    <w:rsid w:val="00CB0A9D"/>
    <w:rsid w:val="00CB304C"/>
    <w:rsid w:val="00CB376E"/>
    <w:rsid w:val="00CB43C1"/>
    <w:rsid w:val="00CB4F92"/>
    <w:rsid w:val="00CB5A28"/>
    <w:rsid w:val="00CB5CB2"/>
    <w:rsid w:val="00CB784E"/>
    <w:rsid w:val="00CC004A"/>
    <w:rsid w:val="00CC0AF7"/>
    <w:rsid w:val="00CC1A6F"/>
    <w:rsid w:val="00CC1BA0"/>
    <w:rsid w:val="00CC348F"/>
    <w:rsid w:val="00CC3F91"/>
    <w:rsid w:val="00CC438F"/>
    <w:rsid w:val="00CC4A76"/>
    <w:rsid w:val="00CC544A"/>
    <w:rsid w:val="00CC57EA"/>
    <w:rsid w:val="00CC6097"/>
    <w:rsid w:val="00CC6992"/>
    <w:rsid w:val="00CC6A0C"/>
    <w:rsid w:val="00CC7466"/>
    <w:rsid w:val="00CD05A0"/>
    <w:rsid w:val="00CD1826"/>
    <w:rsid w:val="00CD33CB"/>
    <w:rsid w:val="00CD437E"/>
    <w:rsid w:val="00CD47EB"/>
    <w:rsid w:val="00CD4989"/>
    <w:rsid w:val="00CD54B4"/>
    <w:rsid w:val="00CD55A6"/>
    <w:rsid w:val="00CD590C"/>
    <w:rsid w:val="00CD5DAD"/>
    <w:rsid w:val="00CD6386"/>
    <w:rsid w:val="00CD770E"/>
    <w:rsid w:val="00CD7CE2"/>
    <w:rsid w:val="00CE0789"/>
    <w:rsid w:val="00CE1A03"/>
    <w:rsid w:val="00CE2FBC"/>
    <w:rsid w:val="00CE34DF"/>
    <w:rsid w:val="00CE353B"/>
    <w:rsid w:val="00CE3962"/>
    <w:rsid w:val="00CE56BD"/>
    <w:rsid w:val="00CE6089"/>
    <w:rsid w:val="00CE68EF"/>
    <w:rsid w:val="00CF1D6D"/>
    <w:rsid w:val="00CF2482"/>
    <w:rsid w:val="00CF2BE2"/>
    <w:rsid w:val="00CF2C0E"/>
    <w:rsid w:val="00CF2DCC"/>
    <w:rsid w:val="00CF3119"/>
    <w:rsid w:val="00CF531D"/>
    <w:rsid w:val="00CF5BCD"/>
    <w:rsid w:val="00CF6144"/>
    <w:rsid w:val="00CF7E54"/>
    <w:rsid w:val="00D00204"/>
    <w:rsid w:val="00D006A7"/>
    <w:rsid w:val="00D00FD7"/>
    <w:rsid w:val="00D01C39"/>
    <w:rsid w:val="00D01CF9"/>
    <w:rsid w:val="00D02DDB"/>
    <w:rsid w:val="00D02F9F"/>
    <w:rsid w:val="00D03194"/>
    <w:rsid w:val="00D03234"/>
    <w:rsid w:val="00D0334D"/>
    <w:rsid w:val="00D0358B"/>
    <w:rsid w:val="00D037D6"/>
    <w:rsid w:val="00D0503C"/>
    <w:rsid w:val="00D05839"/>
    <w:rsid w:val="00D05AE2"/>
    <w:rsid w:val="00D06542"/>
    <w:rsid w:val="00D06C72"/>
    <w:rsid w:val="00D117C1"/>
    <w:rsid w:val="00D12587"/>
    <w:rsid w:val="00D13B06"/>
    <w:rsid w:val="00D156C9"/>
    <w:rsid w:val="00D15921"/>
    <w:rsid w:val="00D15FAA"/>
    <w:rsid w:val="00D17019"/>
    <w:rsid w:val="00D172F3"/>
    <w:rsid w:val="00D1780A"/>
    <w:rsid w:val="00D17ACE"/>
    <w:rsid w:val="00D200BA"/>
    <w:rsid w:val="00D202D8"/>
    <w:rsid w:val="00D20D54"/>
    <w:rsid w:val="00D21168"/>
    <w:rsid w:val="00D219C8"/>
    <w:rsid w:val="00D22DF2"/>
    <w:rsid w:val="00D2410C"/>
    <w:rsid w:val="00D2438C"/>
    <w:rsid w:val="00D26033"/>
    <w:rsid w:val="00D26CED"/>
    <w:rsid w:val="00D26F9F"/>
    <w:rsid w:val="00D27185"/>
    <w:rsid w:val="00D304AF"/>
    <w:rsid w:val="00D336C3"/>
    <w:rsid w:val="00D33767"/>
    <w:rsid w:val="00D33AB3"/>
    <w:rsid w:val="00D33B7A"/>
    <w:rsid w:val="00D35AE2"/>
    <w:rsid w:val="00D371E5"/>
    <w:rsid w:val="00D4023D"/>
    <w:rsid w:val="00D4072D"/>
    <w:rsid w:val="00D40748"/>
    <w:rsid w:val="00D42ED9"/>
    <w:rsid w:val="00D435F0"/>
    <w:rsid w:val="00D44613"/>
    <w:rsid w:val="00D468B8"/>
    <w:rsid w:val="00D471AF"/>
    <w:rsid w:val="00D50519"/>
    <w:rsid w:val="00D51CF6"/>
    <w:rsid w:val="00D52541"/>
    <w:rsid w:val="00D55951"/>
    <w:rsid w:val="00D55A17"/>
    <w:rsid w:val="00D56796"/>
    <w:rsid w:val="00D56824"/>
    <w:rsid w:val="00D602E7"/>
    <w:rsid w:val="00D640F6"/>
    <w:rsid w:val="00D645A3"/>
    <w:rsid w:val="00D66D8B"/>
    <w:rsid w:val="00D675ED"/>
    <w:rsid w:val="00D679B0"/>
    <w:rsid w:val="00D73C2C"/>
    <w:rsid w:val="00D76308"/>
    <w:rsid w:val="00D76575"/>
    <w:rsid w:val="00D768CE"/>
    <w:rsid w:val="00D778FE"/>
    <w:rsid w:val="00D809CC"/>
    <w:rsid w:val="00D80DF3"/>
    <w:rsid w:val="00D8259F"/>
    <w:rsid w:val="00D844B3"/>
    <w:rsid w:val="00D84F27"/>
    <w:rsid w:val="00D8564E"/>
    <w:rsid w:val="00D85910"/>
    <w:rsid w:val="00D85FA1"/>
    <w:rsid w:val="00D86496"/>
    <w:rsid w:val="00D86B4C"/>
    <w:rsid w:val="00D86D48"/>
    <w:rsid w:val="00D86FB2"/>
    <w:rsid w:val="00D87652"/>
    <w:rsid w:val="00D903FC"/>
    <w:rsid w:val="00D91A4A"/>
    <w:rsid w:val="00D91E17"/>
    <w:rsid w:val="00D92976"/>
    <w:rsid w:val="00D92BC7"/>
    <w:rsid w:val="00D946A9"/>
    <w:rsid w:val="00D97A45"/>
    <w:rsid w:val="00D97F4E"/>
    <w:rsid w:val="00DA153A"/>
    <w:rsid w:val="00DA240D"/>
    <w:rsid w:val="00DA4DD7"/>
    <w:rsid w:val="00DA5F71"/>
    <w:rsid w:val="00DA625B"/>
    <w:rsid w:val="00DB011E"/>
    <w:rsid w:val="00DB2FA5"/>
    <w:rsid w:val="00DB4224"/>
    <w:rsid w:val="00DB661F"/>
    <w:rsid w:val="00DB6C27"/>
    <w:rsid w:val="00DB6DA3"/>
    <w:rsid w:val="00DC0BB7"/>
    <w:rsid w:val="00DC4447"/>
    <w:rsid w:val="00DC67B1"/>
    <w:rsid w:val="00DC6EBB"/>
    <w:rsid w:val="00DC7CF1"/>
    <w:rsid w:val="00DC7FDF"/>
    <w:rsid w:val="00DD1A40"/>
    <w:rsid w:val="00DD276E"/>
    <w:rsid w:val="00DD58BE"/>
    <w:rsid w:val="00DD6AEA"/>
    <w:rsid w:val="00DE1BF5"/>
    <w:rsid w:val="00DF0403"/>
    <w:rsid w:val="00DF0EC1"/>
    <w:rsid w:val="00DF1299"/>
    <w:rsid w:val="00DF1758"/>
    <w:rsid w:val="00DF1ADD"/>
    <w:rsid w:val="00DF22C1"/>
    <w:rsid w:val="00DF23A8"/>
    <w:rsid w:val="00DF343D"/>
    <w:rsid w:val="00DF5696"/>
    <w:rsid w:val="00DF6CCC"/>
    <w:rsid w:val="00DF6F64"/>
    <w:rsid w:val="00DF721E"/>
    <w:rsid w:val="00DF7B22"/>
    <w:rsid w:val="00DF7E84"/>
    <w:rsid w:val="00E02E63"/>
    <w:rsid w:val="00E03628"/>
    <w:rsid w:val="00E0366A"/>
    <w:rsid w:val="00E0493E"/>
    <w:rsid w:val="00E04A10"/>
    <w:rsid w:val="00E05388"/>
    <w:rsid w:val="00E0570B"/>
    <w:rsid w:val="00E0635B"/>
    <w:rsid w:val="00E07669"/>
    <w:rsid w:val="00E10AC3"/>
    <w:rsid w:val="00E10C2A"/>
    <w:rsid w:val="00E10DBA"/>
    <w:rsid w:val="00E12731"/>
    <w:rsid w:val="00E15912"/>
    <w:rsid w:val="00E159AA"/>
    <w:rsid w:val="00E214D7"/>
    <w:rsid w:val="00E219CE"/>
    <w:rsid w:val="00E2273F"/>
    <w:rsid w:val="00E22D8F"/>
    <w:rsid w:val="00E239F4"/>
    <w:rsid w:val="00E2454B"/>
    <w:rsid w:val="00E2495C"/>
    <w:rsid w:val="00E24CC4"/>
    <w:rsid w:val="00E24EBC"/>
    <w:rsid w:val="00E2522C"/>
    <w:rsid w:val="00E2584E"/>
    <w:rsid w:val="00E26194"/>
    <w:rsid w:val="00E27271"/>
    <w:rsid w:val="00E279C7"/>
    <w:rsid w:val="00E27C5F"/>
    <w:rsid w:val="00E27CB7"/>
    <w:rsid w:val="00E30519"/>
    <w:rsid w:val="00E32F09"/>
    <w:rsid w:val="00E349E9"/>
    <w:rsid w:val="00E403B7"/>
    <w:rsid w:val="00E40D0B"/>
    <w:rsid w:val="00E41D36"/>
    <w:rsid w:val="00E422BE"/>
    <w:rsid w:val="00E425E0"/>
    <w:rsid w:val="00E43AE5"/>
    <w:rsid w:val="00E43B24"/>
    <w:rsid w:val="00E44C65"/>
    <w:rsid w:val="00E47BFC"/>
    <w:rsid w:val="00E47EC7"/>
    <w:rsid w:val="00E51B8B"/>
    <w:rsid w:val="00E52EB9"/>
    <w:rsid w:val="00E53730"/>
    <w:rsid w:val="00E54511"/>
    <w:rsid w:val="00E5476D"/>
    <w:rsid w:val="00E57577"/>
    <w:rsid w:val="00E6131A"/>
    <w:rsid w:val="00E67E96"/>
    <w:rsid w:val="00E727A8"/>
    <w:rsid w:val="00E72830"/>
    <w:rsid w:val="00E72D94"/>
    <w:rsid w:val="00E741A3"/>
    <w:rsid w:val="00E745C3"/>
    <w:rsid w:val="00E749E8"/>
    <w:rsid w:val="00E75EF0"/>
    <w:rsid w:val="00E7713B"/>
    <w:rsid w:val="00E80AE4"/>
    <w:rsid w:val="00E80B71"/>
    <w:rsid w:val="00E8251E"/>
    <w:rsid w:val="00E8291B"/>
    <w:rsid w:val="00E82CDE"/>
    <w:rsid w:val="00E8419F"/>
    <w:rsid w:val="00E84B86"/>
    <w:rsid w:val="00E85454"/>
    <w:rsid w:val="00E855F7"/>
    <w:rsid w:val="00E86CCF"/>
    <w:rsid w:val="00E871A3"/>
    <w:rsid w:val="00E8789F"/>
    <w:rsid w:val="00E91044"/>
    <w:rsid w:val="00E910D3"/>
    <w:rsid w:val="00E91575"/>
    <w:rsid w:val="00E9269E"/>
    <w:rsid w:val="00E93CB2"/>
    <w:rsid w:val="00E96851"/>
    <w:rsid w:val="00E96AAE"/>
    <w:rsid w:val="00EB05D0"/>
    <w:rsid w:val="00EB1D49"/>
    <w:rsid w:val="00EB1DE6"/>
    <w:rsid w:val="00EB1E93"/>
    <w:rsid w:val="00EB204B"/>
    <w:rsid w:val="00EB3609"/>
    <w:rsid w:val="00EB5DCC"/>
    <w:rsid w:val="00EB61D8"/>
    <w:rsid w:val="00EB7B78"/>
    <w:rsid w:val="00EC15B9"/>
    <w:rsid w:val="00EC1B78"/>
    <w:rsid w:val="00EC2584"/>
    <w:rsid w:val="00EC2A2B"/>
    <w:rsid w:val="00EC2C01"/>
    <w:rsid w:val="00EC3570"/>
    <w:rsid w:val="00EC69D9"/>
    <w:rsid w:val="00EC7024"/>
    <w:rsid w:val="00EC716B"/>
    <w:rsid w:val="00EC7730"/>
    <w:rsid w:val="00ED0046"/>
    <w:rsid w:val="00ED127E"/>
    <w:rsid w:val="00ED144D"/>
    <w:rsid w:val="00ED287C"/>
    <w:rsid w:val="00ED3525"/>
    <w:rsid w:val="00ED6C2B"/>
    <w:rsid w:val="00ED7B00"/>
    <w:rsid w:val="00EE0F3D"/>
    <w:rsid w:val="00EE1C92"/>
    <w:rsid w:val="00EE375E"/>
    <w:rsid w:val="00EE3B50"/>
    <w:rsid w:val="00EE56F0"/>
    <w:rsid w:val="00EE7814"/>
    <w:rsid w:val="00EF2109"/>
    <w:rsid w:val="00EF269A"/>
    <w:rsid w:val="00EF2BC3"/>
    <w:rsid w:val="00EF4AF6"/>
    <w:rsid w:val="00EF5554"/>
    <w:rsid w:val="00EF588F"/>
    <w:rsid w:val="00EF5CB6"/>
    <w:rsid w:val="00EF6FB8"/>
    <w:rsid w:val="00F0041A"/>
    <w:rsid w:val="00F006C0"/>
    <w:rsid w:val="00F00923"/>
    <w:rsid w:val="00F02686"/>
    <w:rsid w:val="00F02EC0"/>
    <w:rsid w:val="00F04E15"/>
    <w:rsid w:val="00F069EA"/>
    <w:rsid w:val="00F11DDC"/>
    <w:rsid w:val="00F11EAA"/>
    <w:rsid w:val="00F11F4A"/>
    <w:rsid w:val="00F11FB1"/>
    <w:rsid w:val="00F127D4"/>
    <w:rsid w:val="00F12B24"/>
    <w:rsid w:val="00F14747"/>
    <w:rsid w:val="00F1487F"/>
    <w:rsid w:val="00F14A63"/>
    <w:rsid w:val="00F16055"/>
    <w:rsid w:val="00F164B2"/>
    <w:rsid w:val="00F210EE"/>
    <w:rsid w:val="00F2184F"/>
    <w:rsid w:val="00F22756"/>
    <w:rsid w:val="00F22C25"/>
    <w:rsid w:val="00F236ED"/>
    <w:rsid w:val="00F24F54"/>
    <w:rsid w:val="00F259C2"/>
    <w:rsid w:val="00F2637F"/>
    <w:rsid w:val="00F26B5D"/>
    <w:rsid w:val="00F27282"/>
    <w:rsid w:val="00F30CF8"/>
    <w:rsid w:val="00F310EA"/>
    <w:rsid w:val="00F3129A"/>
    <w:rsid w:val="00F32D4C"/>
    <w:rsid w:val="00F34B14"/>
    <w:rsid w:val="00F34E3F"/>
    <w:rsid w:val="00F360A0"/>
    <w:rsid w:val="00F37616"/>
    <w:rsid w:val="00F4008D"/>
    <w:rsid w:val="00F40101"/>
    <w:rsid w:val="00F4020E"/>
    <w:rsid w:val="00F4146A"/>
    <w:rsid w:val="00F41F21"/>
    <w:rsid w:val="00F43017"/>
    <w:rsid w:val="00F44C3B"/>
    <w:rsid w:val="00F46723"/>
    <w:rsid w:val="00F469B3"/>
    <w:rsid w:val="00F46B91"/>
    <w:rsid w:val="00F4743E"/>
    <w:rsid w:val="00F50016"/>
    <w:rsid w:val="00F50D15"/>
    <w:rsid w:val="00F50D96"/>
    <w:rsid w:val="00F5175C"/>
    <w:rsid w:val="00F52963"/>
    <w:rsid w:val="00F53BC8"/>
    <w:rsid w:val="00F53E28"/>
    <w:rsid w:val="00F53E66"/>
    <w:rsid w:val="00F543D4"/>
    <w:rsid w:val="00F546DD"/>
    <w:rsid w:val="00F55732"/>
    <w:rsid w:val="00F60265"/>
    <w:rsid w:val="00F60D2F"/>
    <w:rsid w:val="00F6232F"/>
    <w:rsid w:val="00F64FA2"/>
    <w:rsid w:val="00F6520F"/>
    <w:rsid w:val="00F66309"/>
    <w:rsid w:val="00F70571"/>
    <w:rsid w:val="00F70799"/>
    <w:rsid w:val="00F71AF3"/>
    <w:rsid w:val="00F724FB"/>
    <w:rsid w:val="00F725D1"/>
    <w:rsid w:val="00F742BF"/>
    <w:rsid w:val="00F756DD"/>
    <w:rsid w:val="00F76063"/>
    <w:rsid w:val="00F82178"/>
    <w:rsid w:val="00F862F7"/>
    <w:rsid w:val="00F868E9"/>
    <w:rsid w:val="00F90DFE"/>
    <w:rsid w:val="00F91906"/>
    <w:rsid w:val="00F94AF5"/>
    <w:rsid w:val="00F961D9"/>
    <w:rsid w:val="00F972DA"/>
    <w:rsid w:val="00FA0043"/>
    <w:rsid w:val="00FA2924"/>
    <w:rsid w:val="00FA2D48"/>
    <w:rsid w:val="00FA472D"/>
    <w:rsid w:val="00FA4C72"/>
    <w:rsid w:val="00FA4F3D"/>
    <w:rsid w:val="00FA5E5E"/>
    <w:rsid w:val="00FA6462"/>
    <w:rsid w:val="00FA68F4"/>
    <w:rsid w:val="00FB00FF"/>
    <w:rsid w:val="00FB035E"/>
    <w:rsid w:val="00FB0602"/>
    <w:rsid w:val="00FB1717"/>
    <w:rsid w:val="00FB46B3"/>
    <w:rsid w:val="00FB58B9"/>
    <w:rsid w:val="00FC06E2"/>
    <w:rsid w:val="00FC1953"/>
    <w:rsid w:val="00FC205A"/>
    <w:rsid w:val="00FC2708"/>
    <w:rsid w:val="00FC3291"/>
    <w:rsid w:val="00FC485A"/>
    <w:rsid w:val="00FC4979"/>
    <w:rsid w:val="00FC5EA6"/>
    <w:rsid w:val="00FC720E"/>
    <w:rsid w:val="00FC79BC"/>
    <w:rsid w:val="00FC7AE7"/>
    <w:rsid w:val="00FD01BF"/>
    <w:rsid w:val="00FD39C6"/>
    <w:rsid w:val="00FD764D"/>
    <w:rsid w:val="00FD7681"/>
    <w:rsid w:val="00FE3301"/>
    <w:rsid w:val="00FE741D"/>
    <w:rsid w:val="00FF124E"/>
    <w:rsid w:val="00FF1C9B"/>
    <w:rsid w:val="00FF21C9"/>
    <w:rsid w:val="00FF23F1"/>
    <w:rsid w:val="00FF36AE"/>
    <w:rsid w:val="00FF4767"/>
    <w:rsid w:val="00FF48D1"/>
    <w:rsid w:val="00FF57E4"/>
    <w:rsid w:val="02BB17CB"/>
    <w:rsid w:val="02E24720"/>
    <w:rsid w:val="035F5DAC"/>
    <w:rsid w:val="05E317F3"/>
    <w:rsid w:val="07EE4BEE"/>
    <w:rsid w:val="095721E9"/>
    <w:rsid w:val="098C6194"/>
    <w:rsid w:val="09C24F5B"/>
    <w:rsid w:val="0ACA1FA1"/>
    <w:rsid w:val="0CF25A42"/>
    <w:rsid w:val="0E6F41B4"/>
    <w:rsid w:val="0F4D436E"/>
    <w:rsid w:val="0FBF2EF8"/>
    <w:rsid w:val="11FB773A"/>
    <w:rsid w:val="12C71253"/>
    <w:rsid w:val="12F03042"/>
    <w:rsid w:val="159F6E1C"/>
    <w:rsid w:val="160F724A"/>
    <w:rsid w:val="16D2636C"/>
    <w:rsid w:val="17013A85"/>
    <w:rsid w:val="17D95190"/>
    <w:rsid w:val="18702B36"/>
    <w:rsid w:val="1A6A2680"/>
    <w:rsid w:val="1D8E0188"/>
    <w:rsid w:val="1EAB465D"/>
    <w:rsid w:val="1F1C3591"/>
    <w:rsid w:val="1FD64B2D"/>
    <w:rsid w:val="20233244"/>
    <w:rsid w:val="20A65B72"/>
    <w:rsid w:val="20D824EA"/>
    <w:rsid w:val="21490157"/>
    <w:rsid w:val="218A0E86"/>
    <w:rsid w:val="2337521E"/>
    <w:rsid w:val="26BB17DD"/>
    <w:rsid w:val="271620AA"/>
    <w:rsid w:val="28E47DC5"/>
    <w:rsid w:val="29505D1B"/>
    <w:rsid w:val="2B173D12"/>
    <w:rsid w:val="2DA17952"/>
    <w:rsid w:val="2DD847FC"/>
    <w:rsid w:val="2EDF19C4"/>
    <w:rsid w:val="2F390A9C"/>
    <w:rsid w:val="2F95143C"/>
    <w:rsid w:val="319C19E8"/>
    <w:rsid w:val="31CF2F6A"/>
    <w:rsid w:val="31E511A8"/>
    <w:rsid w:val="336E6D90"/>
    <w:rsid w:val="347562D6"/>
    <w:rsid w:val="35A01C74"/>
    <w:rsid w:val="35A457FF"/>
    <w:rsid w:val="36DF3689"/>
    <w:rsid w:val="379F30FB"/>
    <w:rsid w:val="38E23927"/>
    <w:rsid w:val="3B6A7D18"/>
    <w:rsid w:val="3B6E28A1"/>
    <w:rsid w:val="3D2948EA"/>
    <w:rsid w:val="3DC425A5"/>
    <w:rsid w:val="3DD45E3A"/>
    <w:rsid w:val="3E2935EA"/>
    <w:rsid w:val="3FAD3732"/>
    <w:rsid w:val="42903D86"/>
    <w:rsid w:val="443F467F"/>
    <w:rsid w:val="45881757"/>
    <w:rsid w:val="47DD5470"/>
    <w:rsid w:val="48C51D9F"/>
    <w:rsid w:val="490F53CE"/>
    <w:rsid w:val="49907AB4"/>
    <w:rsid w:val="4C656AC2"/>
    <w:rsid w:val="4DBE61B5"/>
    <w:rsid w:val="4E0E773D"/>
    <w:rsid w:val="4E3368FE"/>
    <w:rsid w:val="503F00BA"/>
    <w:rsid w:val="535652E8"/>
    <w:rsid w:val="53762E4F"/>
    <w:rsid w:val="55563D85"/>
    <w:rsid w:val="56B01E4C"/>
    <w:rsid w:val="576773B2"/>
    <w:rsid w:val="587744F8"/>
    <w:rsid w:val="58CF5CB9"/>
    <w:rsid w:val="5A4844E8"/>
    <w:rsid w:val="5A6D0C80"/>
    <w:rsid w:val="5C2877A2"/>
    <w:rsid w:val="5D1D1F95"/>
    <w:rsid w:val="5E1C3A2E"/>
    <w:rsid w:val="5EA5229A"/>
    <w:rsid w:val="5ED67919"/>
    <w:rsid w:val="5FD31ED8"/>
    <w:rsid w:val="617347E3"/>
    <w:rsid w:val="63A36B89"/>
    <w:rsid w:val="643710D2"/>
    <w:rsid w:val="644F2539"/>
    <w:rsid w:val="666C2860"/>
    <w:rsid w:val="678C7E88"/>
    <w:rsid w:val="695360A7"/>
    <w:rsid w:val="6A267E1A"/>
    <w:rsid w:val="6A5B0F7D"/>
    <w:rsid w:val="6ABE049C"/>
    <w:rsid w:val="6AF84A43"/>
    <w:rsid w:val="6C3941D7"/>
    <w:rsid w:val="6DBC1FA4"/>
    <w:rsid w:val="6F3038C2"/>
    <w:rsid w:val="6FA6544E"/>
    <w:rsid w:val="703E15B9"/>
    <w:rsid w:val="71297F0A"/>
    <w:rsid w:val="71705F59"/>
    <w:rsid w:val="7430673E"/>
    <w:rsid w:val="760D10D4"/>
    <w:rsid w:val="76754085"/>
    <w:rsid w:val="76933108"/>
    <w:rsid w:val="76EC7AC1"/>
    <w:rsid w:val="781F477B"/>
    <w:rsid w:val="783B47AF"/>
    <w:rsid w:val="78AB168F"/>
    <w:rsid w:val="794A5521"/>
    <w:rsid w:val="7BA30E0C"/>
    <w:rsid w:val="7C191152"/>
    <w:rsid w:val="7D601F92"/>
    <w:rsid w:val="7D6268AA"/>
    <w:rsid w:val="7DF9B98D"/>
    <w:rsid w:val="7ECF26DF"/>
    <w:rsid w:val="8FFDF1AB"/>
    <w:rsid w:val="EE6DB813"/>
    <w:rsid w:val="EF7F3E1A"/>
    <w:rsid w:val="FA6E0645"/>
    <w:rsid w:val="FFEA63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0"/>
    <w:qFormat/>
    <w:uiPriority w:val="0"/>
    <w:pPr>
      <w:ind w:firstLine="420"/>
    </w:pPr>
    <w:rPr>
      <w:rFonts w:ascii="Calibri" w:hAnsi="Calibri"/>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70"/>
    <w:qFormat/>
    <w:uiPriority w:val="0"/>
    <w:pPr>
      <w:jc w:val="left"/>
    </w:pPr>
  </w:style>
  <w:style w:type="paragraph" w:styleId="18">
    <w:name w:val="Body Text 3"/>
    <w:basedOn w:val="1"/>
    <w:link w:val="77"/>
    <w:qFormat/>
    <w:uiPriority w:val="0"/>
    <w:pPr>
      <w:spacing w:line="500" w:lineRule="exact"/>
    </w:pPr>
    <w:rPr>
      <w:b/>
      <w:bCs/>
      <w:sz w:val="24"/>
    </w:rPr>
  </w:style>
  <w:style w:type="paragraph" w:styleId="19">
    <w:name w:val="Body Text"/>
    <w:basedOn w:val="1"/>
    <w:link w:val="71"/>
    <w:unhideWhenUsed/>
    <w:qFormat/>
    <w:uiPriority w:val="99"/>
    <w:pPr>
      <w:spacing w:after="120"/>
    </w:pPr>
  </w:style>
  <w:style w:type="paragraph" w:styleId="20">
    <w:name w:val="Body Text Indent"/>
    <w:basedOn w:val="1"/>
    <w:link w:val="69"/>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0"/>
    <w:pPr>
      <w:ind w:left="1680" w:leftChars="800"/>
    </w:pPr>
    <w:rPr>
      <w:rFonts w:ascii="Calibri" w:hAnsi="Calibri"/>
      <w:szCs w:val="22"/>
    </w:rPr>
  </w:style>
  <w:style w:type="paragraph" w:styleId="24">
    <w:name w:val="toc 3"/>
    <w:basedOn w:val="1"/>
    <w:next w:val="1"/>
    <w:unhideWhenUsed/>
    <w:qFormat/>
    <w:uiPriority w:val="0"/>
    <w:pPr>
      <w:ind w:left="840" w:leftChars="400"/>
    </w:pPr>
    <w:rPr>
      <w:rFonts w:ascii="Calibri" w:hAnsi="Calibri"/>
      <w:szCs w:val="22"/>
    </w:rPr>
  </w:style>
  <w:style w:type="paragraph" w:styleId="25">
    <w:name w:val="Plain Text"/>
    <w:basedOn w:val="1"/>
    <w:link w:val="68"/>
    <w:qFormat/>
    <w:uiPriority w:val="0"/>
    <w:rPr>
      <w:rFonts w:ascii="宋体" w:hAnsi="Courier New" w:cs="Courier New"/>
      <w:szCs w:val="21"/>
    </w:rPr>
  </w:style>
  <w:style w:type="paragraph" w:styleId="26">
    <w:name w:val="toc 8"/>
    <w:basedOn w:val="1"/>
    <w:next w:val="1"/>
    <w:unhideWhenUsed/>
    <w:qFormat/>
    <w:uiPriority w:val="0"/>
    <w:pPr>
      <w:ind w:left="2940" w:leftChars="1400"/>
    </w:pPr>
    <w:rPr>
      <w:rFonts w:ascii="Calibri" w:hAnsi="Calibri"/>
      <w:szCs w:val="22"/>
    </w:rPr>
  </w:style>
  <w:style w:type="paragraph" w:styleId="27">
    <w:name w:val="Date"/>
    <w:basedOn w:val="1"/>
    <w:next w:val="1"/>
    <w:link w:val="72"/>
    <w:semiHidden/>
    <w:unhideWhenUsed/>
    <w:qFormat/>
    <w:uiPriority w:val="99"/>
    <w:pPr>
      <w:ind w:left="100" w:leftChars="2500"/>
    </w:pPr>
  </w:style>
  <w:style w:type="paragraph" w:styleId="28">
    <w:name w:val="Body Text Indent 2"/>
    <w:basedOn w:val="1"/>
    <w:link w:val="75"/>
    <w:qFormat/>
    <w:uiPriority w:val="0"/>
    <w:pPr>
      <w:ind w:firstLine="630"/>
    </w:pPr>
    <w:rPr>
      <w:sz w:val="32"/>
      <w:szCs w:val="20"/>
    </w:rPr>
  </w:style>
  <w:style w:type="paragraph" w:styleId="29">
    <w:name w:val="endnote text"/>
    <w:basedOn w:val="1"/>
    <w:semiHidden/>
    <w:unhideWhenUsed/>
    <w:qFormat/>
    <w:uiPriority w:val="0"/>
    <w:pPr>
      <w:snapToGrid w:val="0"/>
      <w:jc w:val="left"/>
    </w:pPr>
  </w:style>
  <w:style w:type="paragraph" w:styleId="30">
    <w:name w:val="Balloon Text"/>
    <w:basedOn w:val="1"/>
    <w:semiHidden/>
    <w:qFormat/>
    <w:uiPriority w:val="0"/>
    <w:rPr>
      <w:sz w:val="18"/>
      <w:szCs w:val="18"/>
    </w:rPr>
  </w:style>
  <w:style w:type="paragraph" w:styleId="31">
    <w:name w:val="footer"/>
    <w:basedOn w:val="1"/>
    <w:link w:val="67"/>
    <w:unhideWhenUsed/>
    <w:qFormat/>
    <w:uiPriority w:val="99"/>
    <w:pPr>
      <w:tabs>
        <w:tab w:val="center" w:pos="4153"/>
        <w:tab w:val="right" w:pos="8306"/>
      </w:tabs>
      <w:snapToGrid w:val="0"/>
      <w:jc w:val="left"/>
    </w:pPr>
    <w:rPr>
      <w:sz w:val="18"/>
      <w:szCs w:val="18"/>
    </w:rPr>
  </w:style>
  <w:style w:type="paragraph" w:styleId="3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unhideWhenUsed/>
    <w:qFormat/>
    <w:uiPriority w:val="0"/>
    <w:pPr>
      <w:ind w:left="1260" w:leftChars="600"/>
    </w:pPr>
    <w:rPr>
      <w:rFonts w:ascii="Calibri" w:hAnsi="Calibri"/>
      <w:szCs w:val="22"/>
    </w:rPr>
  </w:style>
  <w:style w:type="paragraph" w:styleId="35">
    <w:name w:val="index heading"/>
    <w:basedOn w:val="1"/>
    <w:next w:val="36"/>
    <w:semiHidden/>
    <w:qFormat/>
    <w:uiPriority w:val="0"/>
    <w:rPr>
      <w:szCs w:val="20"/>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List"/>
    <w:basedOn w:val="1"/>
    <w:qFormat/>
    <w:uiPriority w:val="0"/>
    <w:pPr>
      <w:ind w:left="200" w:hanging="200" w:hangingChars="200"/>
    </w:pPr>
    <w:rPr>
      <w:sz w:val="28"/>
    </w:rPr>
  </w:style>
  <w:style w:type="paragraph" w:styleId="38">
    <w:name w:val="footnote text"/>
    <w:basedOn w:val="1"/>
    <w:semiHidden/>
    <w:unhideWhenUsed/>
    <w:qFormat/>
    <w:uiPriority w:val="0"/>
    <w:pPr>
      <w:snapToGrid w:val="0"/>
      <w:jc w:val="left"/>
    </w:pPr>
    <w:rPr>
      <w:sz w:val="18"/>
      <w:szCs w:val="18"/>
    </w:rPr>
  </w:style>
  <w:style w:type="paragraph" w:styleId="39">
    <w:name w:val="toc 6"/>
    <w:basedOn w:val="1"/>
    <w:next w:val="1"/>
    <w:unhideWhenUsed/>
    <w:qFormat/>
    <w:uiPriority w:val="0"/>
    <w:pPr>
      <w:ind w:left="2100" w:leftChars="1000"/>
    </w:pPr>
    <w:rPr>
      <w:rFonts w:ascii="Calibri" w:hAnsi="Calibri"/>
      <w:szCs w:val="22"/>
    </w:rPr>
  </w:style>
  <w:style w:type="paragraph" w:styleId="40">
    <w:name w:val="Body Text Indent 3"/>
    <w:basedOn w:val="1"/>
    <w:link w:val="74"/>
    <w:qFormat/>
    <w:uiPriority w:val="0"/>
    <w:pPr>
      <w:spacing w:after="120"/>
      <w:ind w:left="420" w:leftChars="200"/>
    </w:pPr>
    <w:rPr>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0"/>
    <w:pPr>
      <w:ind w:left="3360" w:leftChars="1600"/>
    </w:pPr>
    <w:rPr>
      <w:rFonts w:ascii="Calibri" w:hAnsi="Calibri"/>
      <w:szCs w:val="22"/>
    </w:rPr>
  </w:style>
  <w:style w:type="paragraph" w:styleId="43">
    <w:name w:val="Body Text 2"/>
    <w:basedOn w:val="1"/>
    <w:link w:val="76"/>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Title"/>
    <w:basedOn w:val="1"/>
    <w:next w:val="1"/>
    <w:qFormat/>
    <w:uiPriority w:val="0"/>
    <w:pPr>
      <w:spacing w:before="240" w:after="60"/>
      <w:jc w:val="center"/>
      <w:outlineLvl w:val="0"/>
    </w:pPr>
    <w:rPr>
      <w:rFonts w:ascii="Cambria" w:hAnsi="Cambria"/>
      <w:b/>
      <w:bCs/>
      <w:sz w:val="32"/>
      <w:szCs w:val="32"/>
    </w:rPr>
  </w:style>
  <w:style w:type="paragraph" w:styleId="47">
    <w:name w:val="annotation subject"/>
    <w:basedOn w:val="17"/>
    <w:next w:val="17"/>
    <w:semiHidden/>
    <w:qFormat/>
    <w:uiPriority w:val="0"/>
    <w:rPr>
      <w:b/>
      <w:bCs/>
    </w:rPr>
  </w:style>
  <w:style w:type="paragraph" w:styleId="48">
    <w:name w:val="Body Text First Indent"/>
    <w:basedOn w:val="19"/>
    <w:link w:val="94"/>
    <w:qFormat/>
    <w:uiPriority w:val="0"/>
    <w:pPr>
      <w:ind w:firstLine="420" w:firstLineChars="100"/>
    </w:pPr>
    <w:rPr>
      <w:rFonts w:ascii="宋体" w:hAnsi="Courier New"/>
      <w:kern w:val="0"/>
      <w:sz w:val="20"/>
      <w:szCs w:val="21"/>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0"/>
    <w:rPr>
      <w:rFonts w:ascii="Tahoma" w:hAnsi="Tahoma" w:eastAsia="宋体"/>
      <w:b/>
      <w:bCs/>
      <w:spacing w:val="10"/>
      <w:kern w:val="2"/>
      <w:sz w:val="24"/>
      <w:szCs w:val="24"/>
      <w:lang w:val="en-US" w:eastAsia="zh-CN" w:bidi="ar-SA"/>
    </w:rPr>
  </w:style>
  <w:style w:type="character" w:styleId="53">
    <w:name w:val="page number"/>
    <w:basedOn w:val="51"/>
    <w:qFormat/>
    <w:uiPriority w:val="0"/>
  </w:style>
  <w:style w:type="character" w:styleId="54">
    <w:name w:val="Hyperlink"/>
    <w:unhideWhenUsed/>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w:link w:val="3"/>
    <w:qFormat/>
    <w:uiPriority w:val="0"/>
    <w:rPr>
      <w:rFonts w:eastAsia="宋体"/>
      <w:b/>
      <w:bCs/>
      <w:kern w:val="44"/>
      <w:sz w:val="44"/>
      <w:szCs w:val="44"/>
      <w:lang w:val="en-US" w:eastAsia="zh-CN" w:bidi="ar-SA"/>
    </w:rPr>
  </w:style>
  <w:style w:type="character" w:customStyle="1" w:styleId="57">
    <w:name w:val="标题 2 Char1"/>
    <w:link w:val="4"/>
    <w:qFormat/>
    <w:uiPriority w:val="9"/>
    <w:rPr>
      <w:rFonts w:ascii="Cambria" w:hAnsi="Cambria" w:eastAsia="宋体" w:cs="Times New Roman"/>
      <w:b/>
      <w:bCs/>
      <w:kern w:val="2"/>
      <w:sz w:val="32"/>
      <w:szCs w:val="32"/>
    </w:rPr>
  </w:style>
  <w:style w:type="character" w:customStyle="1" w:styleId="58">
    <w:name w:val="标题 3 Char"/>
    <w:link w:val="2"/>
    <w:qFormat/>
    <w:uiPriority w:val="0"/>
    <w:rPr>
      <w:rFonts w:eastAsia="宋体"/>
      <w:b/>
      <w:bCs/>
      <w:kern w:val="2"/>
      <w:sz w:val="32"/>
      <w:szCs w:val="32"/>
      <w:lang w:val="en-US" w:eastAsia="zh-CN" w:bidi="ar-SA"/>
    </w:rPr>
  </w:style>
  <w:style w:type="character" w:customStyle="1" w:styleId="59">
    <w:name w:val="标题 4 Char"/>
    <w:link w:val="5"/>
    <w:qFormat/>
    <w:uiPriority w:val="0"/>
    <w:rPr>
      <w:rFonts w:ascii="Arial" w:hAnsi="Arial" w:eastAsia="黑体"/>
      <w:b/>
      <w:bCs/>
      <w:kern w:val="2"/>
      <w:sz w:val="28"/>
      <w:szCs w:val="28"/>
      <w:lang w:val="en-US" w:eastAsia="zh-CN" w:bidi="ar-SA"/>
    </w:rPr>
  </w:style>
  <w:style w:type="character" w:customStyle="1" w:styleId="60">
    <w:name w:val="正文缩进 Char"/>
    <w:link w:val="7"/>
    <w:qFormat/>
    <w:uiPriority w:val="0"/>
    <w:rPr>
      <w:rFonts w:eastAsia="宋体"/>
      <w:kern w:val="2"/>
      <w:sz w:val="21"/>
      <w:lang w:val="en-US" w:eastAsia="zh-CN" w:bidi="ar-SA"/>
    </w:rPr>
  </w:style>
  <w:style w:type="character" w:customStyle="1" w:styleId="61">
    <w:name w:val="标题 5 Char"/>
    <w:link w:val="6"/>
    <w:qFormat/>
    <w:uiPriority w:val="0"/>
    <w:rPr>
      <w:rFonts w:eastAsia="宋体"/>
      <w:b/>
      <w:kern w:val="2"/>
      <w:sz w:val="28"/>
      <w:szCs w:val="24"/>
      <w:lang w:val="en-US" w:eastAsia="zh-CN" w:bidi="ar-SA"/>
    </w:rPr>
  </w:style>
  <w:style w:type="character" w:customStyle="1" w:styleId="62">
    <w:name w:val="标题 6 Char"/>
    <w:link w:val="8"/>
    <w:qFormat/>
    <w:uiPriority w:val="0"/>
    <w:rPr>
      <w:rFonts w:ascii="Arial" w:hAnsi="Arial" w:eastAsia="黑体"/>
      <w:b/>
      <w:kern w:val="2"/>
      <w:sz w:val="24"/>
      <w:szCs w:val="24"/>
      <w:lang w:val="en-US" w:eastAsia="zh-CN" w:bidi="ar-SA"/>
    </w:rPr>
  </w:style>
  <w:style w:type="character" w:customStyle="1" w:styleId="63">
    <w:name w:val="标题 7 Char"/>
    <w:link w:val="9"/>
    <w:qFormat/>
    <w:uiPriority w:val="0"/>
    <w:rPr>
      <w:rFonts w:eastAsia="宋体"/>
      <w:b/>
      <w:kern w:val="2"/>
      <w:sz w:val="24"/>
      <w:szCs w:val="24"/>
      <w:lang w:val="en-US" w:eastAsia="zh-CN" w:bidi="ar-SA"/>
    </w:rPr>
  </w:style>
  <w:style w:type="character" w:customStyle="1" w:styleId="64">
    <w:name w:val="标题 8 Char"/>
    <w:link w:val="10"/>
    <w:qFormat/>
    <w:uiPriority w:val="0"/>
    <w:rPr>
      <w:rFonts w:ascii="Arial" w:hAnsi="Arial" w:eastAsia="黑体"/>
      <w:kern w:val="2"/>
      <w:sz w:val="24"/>
      <w:szCs w:val="24"/>
      <w:lang w:val="en-US" w:eastAsia="zh-CN" w:bidi="ar-SA"/>
    </w:rPr>
  </w:style>
  <w:style w:type="character" w:customStyle="1" w:styleId="65">
    <w:name w:val="标题 9 Char"/>
    <w:link w:val="11"/>
    <w:qFormat/>
    <w:uiPriority w:val="0"/>
    <w:rPr>
      <w:rFonts w:ascii="Arial" w:hAnsi="Arial" w:eastAsia="黑体"/>
      <w:kern w:val="2"/>
      <w:sz w:val="21"/>
      <w:szCs w:val="24"/>
      <w:lang w:val="en-US" w:eastAsia="zh-CN" w:bidi="ar-SA"/>
    </w:rPr>
  </w:style>
  <w:style w:type="character" w:customStyle="1" w:styleId="66">
    <w:name w:val="页眉 Char"/>
    <w:link w:val="32"/>
    <w:qFormat/>
    <w:uiPriority w:val="99"/>
    <w:rPr>
      <w:sz w:val="18"/>
      <w:szCs w:val="18"/>
    </w:rPr>
  </w:style>
  <w:style w:type="character" w:customStyle="1" w:styleId="67">
    <w:name w:val="页脚 Char"/>
    <w:link w:val="31"/>
    <w:qFormat/>
    <w:uiPriority w:val="99"/>
    <w:rPr>
      <w:sz w:val="18"/>
      <w:szCs w:val="18"/>
    </w:rPr>
  </w:style>
  <w:style w:type="character" w:customStyle="1" w:styleId="68">
    <w:name w:val="纯文本 Char"/>
    <w:link w:val="25"/>
    <w:qFormat/>
    <w:uiPriority w:val="0"/>
    <w:rPr>
      <w:rFonts w:ascii="宋体" w:hAnsi="Courier New" w:eastAsia="宋体" w:cs="Courier New"/>
      <w:szCs w:val="21"/>
    </w:rPr>
  </w:style>
  <w:style w:type="character" w:customStyle="1" w:styleId="69">
    <w:name w:val="正文文本缩进 Char"/>
    <w:link w:val="20"/>
    <w:qFormat/>
    <w:uiPriority w:val="0"/>
    <w:rPr>
      <w:rFonts w:ascii="仿宋_GB2312" w:hAnsi="Times New Roman" w:eastAsia="仿宋_GB2312" w:cs="Times New Roman"/>
      <w:sz w:val="32"/>
      <w:szCs w:val="20"/>
    </w:rPr>
  </w:style>
  <w:style w:type="character" w:customStyle="1" w:styleId="70">
    <w:name w:val="批注文字 Char"/>
    <w:link w:val="17"/>
    <w:qFormat/>
    <w:uiPriority w:val="0"/>
    <w:rPr>
      <w:rFonts w:ascii="Times New Roman" w:hAnsi="Times New Roman"/>
      <w:kern w:val="2"/>
      <w:sz w:val="21"/>
      <w:szCs w:val="24"/>
    </w:rPr>
  </w:style>
  <w:style w:type="character" w:customStyle="1" w:styleId="71">
    <w:name w:val="正文文本 Char"/>
    <w:link w:val="19"/>
    <w:qFormat/>
    <w:uiPriority w:val="99"/>
    <w:rPr>
      <w:rFonts w:ascii="Times New Roman" w:hAnsi="Times New Roman"/>
      <w:kern w:val="2"/>
      <w:sz w:val="21"/>
      <w:szCs w:val="24"/>
    </w:rPr>
  </w:style>
  <w:style w:type="character" w:customStyle="1" w:styleId="72">
    <w:name w:val="日期 Char"/>
    <w:link w:val="27"/>
    <w:semiHidden/>
    <w:qFormat/>
    <w:uiPriority w:val="99"/>
    <w:rPr>
      <w:rFonts w:ascii="Times New Roman" w:hAnsi="Times New Roman"/>
      <w:kern w:val="2"/>
      <w:sz w:val="21"/>
      <w:szCs w:val="24"/>
    </w:rPr>
  </w:style>
  <w:style w:type="character" w:customStyle="1" w:styleId="73">
    <w:name w:val="apple-style-span"/>
    <w:basedOn w:val="51"/>
    <w:qFormat/>
    <w:uiPriority w:val="0"/>
  </w:style>
  <w:style w:type="character" w:customStyle="1" w:styleId="74">
    <w:name w:val="正文文本缩进 3 Char"/>
    <w:link w:val="40"/>
    <w:qFormat/>
    <w:uiPriority w:val="0"/>
    <w:rPr>
      <w:rFonts w:eastAsia="宋体"/>
      <w:kern w:val="2"/>
      <w:sz w:val="16"/>
      <w:szCs w:val="16"/>
      <w:lang w:val="en-US" w:eastAsia="zh-CN" w:bidi="ar-SA"/>
    </w:rPr>
  </w:style>
  <w:style w:type="character" w:customStyle="1" w:styleId="75">
    <w:name w:val="正文文本缩进 2 Char"/>
    <w:link w:val="28"/>
    <w:qFormat/>
    <w:uiPriority w:val="0"/>
    <w:rPr>
      <w:rFonts w:eastAsia="宋体"/>
      <w:kern w:val="2"/>
      <w:sz w:val="32"/>
      <w:lang w:val="en-US" w:eastAsia="zh-CN" w:bidi="ar-SA"/>
    </w:rPr>
  </w:style>
  <w:style w:type="character" w:customStyle="1" w:styleId="76">
    <w:name w:val="正文文本 2 Char"/>
    <w:link w:val="43"/>
    <w:qFormat/>
    <w:uiPriority w:val="0"/>
    <w:rPr>
      <w:rFonts w:eastAsia="宋体"/>
      <w:kern w:val="2"/>
      <w:sz w:val="21"/>
      <w:szCs w:val="24"/>
      <w:lang w:val="en-US" w:eastAsia="zh-CN" w:bidi="ar-SA"/>
    </w:rPr>
  </w:style>
  <w:style w:type="character" w:customStyle="1" w:styleId="77">
    <w:name w:val="正文文本 3 Char"/>
    <w:link w:val="18"/>
    <w:qFormat/>
    <w:uiPriority w:val="0"/>
    <w:rPr>
      <w:rFonts w:eastAsia="宋体"/>
      <w:b/>
      <w:bCs/>
      <w:kern w:val="2"/>
      <w:sz w:val="24"/>
      <w:szCs w:val="24"/>
      <w:lang w:val="en-US" w:eastAsia="zh-CN" w:bidi="ar-SA"/>
    </w:rPr>
  </w:style>
  <w:style w:type="paragraph" w:customStyle="1" w:styleId="78">
    <w:name w:val="样式 首行缩进:  2 字符"/>
    <w:basedOn w:val="1"/>
    <w:qFormat/>
    <w:uiPriority w:val="0"/>
    <w:pPr>
      <w:spacing w:line="400" w:lineRule="exact"/>
      <w:ind w:firstLine="200" w:firstLineChars="200"/>
    </w:pPr>
    <w:rPr>
      <w:rFonts w:cs="宋体"/>
      <w:sz w:val="24"/>
    </w:rPr>
  </w:style>
  <w:style w:type="paragraph" w:styleId="79">
    <w:name w:val="List Paragraph"/>
    <w:basedOn w:val="1"/>
    <w:qFormat/>
    <w:uiPriority w:val="0"/>
    <w:pPr>
      <w:ind w:firstLine="420" w:firstLineChars="200"/>
    </w:pPr>
  </w:style>
  <w:style w:type="paragraph" w:customStyle="1" w:styleId="8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1">
    <w:name w:val="apple-converted-space"/>
    <w:basedOn w:val="51"/>
    <w:qFormat/>
    <w:uiPriority w:val="0"/>
  </w:style>
  <w:style w:type="character" w:customStyle="1" w:styleId="82">
    <w:name w:val="普通文字 Char Char2"/>
    <w:qFormat/>
    <w:uiPriority w:val="0"/>
    <w:rPr>
      <w:rFonts w:ascii="宋体" w:hAnsi="Courier New" w:eastAsia="宋体"/>
      <w:kern w:val="2"/>
      <w:sz w:val="21"/>
      <w:lang w:val="en-US" w:eastAsia="zh-CN" w:bidi="ar-SA"/>
    </w:rPr>
  </w:style>
  <w:style w:type="paragraph" w:customStyle="1" w:styleId="83">
    <w:name w:val="正文首行缩进两字符"/>
    <w:basedOn w:val="1"/>
    <w:qFormat/>
    <w:uiPriority w:val="0"/>
    <w:pPr>
      <w:spacing w:line="360" w:lineRule="auto"/>
      <w:ind w:firstLine="200" w:firstLineChars="200"/>
    </w:p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默认段落字体 Para Char Char Char Char Char Char Char Char Char1 Char Char Char Char"/>
    <w:basedOn w:val="1"/>
    <w:qFormat/>
    <w:uiPriority w:val="0"/>
    <w:rPr>
      <w:rFonts w:ascii="Tahoma" w:hAnsi="Tahoma"/>
      <w:sz w:val="24"/>
      <w:szCs w:val="20"/>
    </w:rPr>
  </w:style>
  <w:style w:type="paragraph" w:customStyle="1" w:styleId="86">
    <w:name w:val="Char1"/>
    <w:basedOn w:val="1"/>
    <w:qFormat/>
    <w:uiPriority w:val="0"/>
    <w:rPr>
      <w:szCs w:val="21"/>
    </w:rPr>
  </w:style>
  <w:style w:type="paragraph" w:customStyle="1" w:styleId="87">
    <w:name w:val="表格"/>
    <w:basedOn w:val="1"/>
    <w:qFormat/>
    <w:uiPriority w:val="0"/>
    <w:pPr>
      <w:spacing w:line="400" w:lineRule="exact"/>
    </w:pPr>
    <w:rPr>
      <w:sz w:val="24"/>
    </w:rPr>
  </w:style>
  <w:style w:type="paragraph" w:customStyle="1" w:styleId="88">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89">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90">
    <w:name w:val="正文段"/>
    <w:basedOn w:val="1"/>
    <w:qFormat/>
    <w:uiPriority w:val="0"/>
    <w:pPr>
      <w:widowControl/>
      <w:snapToGrid w:val="0"/>
      <w:spacing w:afterLines="50"/>
      <w:ind w:firstLine="200" w:firstLineChars="200"/>
    </w:pPr>
    <w:rPr>
      <w:kern w:val="0"/>
      <w:sz w:val="24"/>
      <w:szCs w:val="20"/>
    </w:rPr>
  </w:style>
  <w:style w:type="paragraph" w:customStyle="1" w:styleId="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3">
    <w:name w:val="Char"/>
    <w:basedOn w:val="16"/>
    <w:semiHidden/>
    <w:qFormat/>
    <w:uiPriority w:val="0"/>
    <w:rPr>
      <w:rFonts w:ascii="Tahoma" w:hAnsi="Tahoma" w:cs="Tahoma"/>
      <w:kern w:val="0"/>
      <w:sz w:val="18"/>
    </w:rPr>
  </w:style>
  <w:style w:type="character" w:customStyle="1" w:styleId="94">
    <w:name w:val="正文首行缩进 Char"/>
    <w:link w:val="48"/>
    <w:qFormat/>
    <w:uiPriority w:val="0"/>
    <w:rPr>
      <w:rFonts w:ascii="宋体" w:hAnsi="Courier New" w:eastAsia="宋体" w:cs="Courier New"/>
      <w:szCs w:val="21"/>
    </w:rPr>
  </w:style>
  <w:style w:type="character" w:customStyle="1" w:styleId="95">
    <w:name w:val="标题 2 Char"/>
    <w:qFormat/>
    <w:uiPriority w:val="0"/>
    <w:rPr>
      <w:rFonts w:ascii="Cambria" w:hAnsi="Cambria" w:eastAsia="宋体" w:cs="Times New Roman"/>
      <w:b/>
      <w:bCs/>
      <w:color w:val="4F81BD"/>
      <w:kern w:val="2"/>
      <w:sz w:val="26"/>
      <w:szCs w:val="26"/>
    </w:rPr>
  </w:style>
  <w:style w:type="character" w:customStyle="1" w:styleId="96">
    <w:name w:val="Char Char18"/>
    <w:qFormat/>
    <w:uiPriority w:val="0"/>
    <w:rPr>
      <w:rFonts w:ascii="Calibri" w:hAnsi="Calibri" w:eastAsia="宋体" w:cs="Times New Roman"/>
      <w:b/>
      <w:bCs/>
      <w:sz w:val="28"/>
      <w:szCs w:val="28"/>
    </w:rPr>
  </w:style>
  <w:style w:type="character" w:customStyle="1" w:styleId="97">
    <w:name w:val="Char Char17"/>
    <w:qFormat/>
    <w:uiPriority w:val="0"/>
    <w:rPr>
      <w:rFonts w:ascii="Cambria" w:hAnsi="Cambria" w:eastAsia="宋体" w:cs="Times New Roman"/>
      <w:b/>
      <w:bCs/>
      <w:sz w:val="24"/>
      <w:szCs w:val="24"/>
    </w:rPr>
  </w:style>
  <w:style w:type="character" w:customStyle="1" w:styleId="98">
    <w:name w:val="Char Char16"/>
    <w:qFormat/>
    <w:uiPriority w:val="0"/>
    <w:rPr>
      <w:rFonts w:ascii="Calibri" w:hAnsi="Calibri" w:eastAsia="宋体" w:cs="Times New Roman"/>
      <w:b/>
      <w:bCs/>
      <w:sz w:val="24"/>
      <w:szCs w:val="24"/>
    </w:rPr>
  </w:style>
  <w:style w:type="character" w:customStyle="1" w:styleId="99">
    <w:name w:val="Char Char15"/>
    <w:qFormat/>
    <w:uiPriority w:val="0"/>
    <w:rPr>
      <w:rFonts w:ascii="Cambria" w:hAnsi="Cambria" w:eastAsia="宋体" w:cs="Times New Roman"/>
      <w:sz w:val="24"/>
      <w:szCs w:val="24"/>
    </w:rPr>
  </w:style>
  <w:style w:type="character" w:customStyle="1" w:styleId="100">
    <w:name w:val="Char Char14"/>
    <w:qFormat/>
    <w:uiPriority w:val="0"/>
    <w:rPr>
      <w:rFonts w:ascii="Cambria" w:hAnsi="Cambria" w:eastAsia="宋体" w:cs="Times New Roman"/>
      <w:sz w:val="21"/>
      <w:szCs w:val="21"/>
    </w:rPr>
  </w:style>
  <w:style w:type="character" w:customStyle="1" w:styleId="101">
    <w:name w:val="Char Char13"/>
    <w:qFormat/>
    <w:uiPriority w:val="0"/>
    <w:rPr>
      <w:rFonts w:ascii="Times New Roman" w:hAnsi="Times New Roman" w:eastAsia="宋体" w:cs="Times New Roman"/>
      <w:kern w:val="2"/>
      <w:sz w:val="18"/>
      <w:szCs w:val="18"/>
    </w:rPr>
  </w:style>
  <w:style w:type="character" w:customStyle="1" w:styleId="102">
    <w:name w:val="正文小标题 Char Char"/>
    <w:qFormat/>
    <w:uiPriority w:val="0"/>
    <w:rPr>
      <w:rFonts w:ascii="仿宋_GB2312" w:hAnsi="Times New Roman" w:eastAsia="仿宋_GB2312" w:cs="Times New Roman"/>
      <w:kern w:val="2"/>
      <w:sz w:val="32"/>
      <w:szCs w:val="20"/>
    </w:rPr>
  </w:style>
  <w:style w:type="character" w:customStyle="1" w:styleId="103">
    <w:name w:val="Char Char12"/>
    <w:qFormat/>
    <w:uiPriority w:val="0"/>
    <w:rPr>
      <w:rFonts w:ascii="Times New Roman" w:hAnsi="Times New Roman" w:eastAsia="宋体" w:cs="Times New Roman"/>
      <w:kern w:val="2"/>
      <w:sz w:val="18"/>
      <w:szCs w:val="18"/>
    </w:rPr>
  </w:style>
  <w:style w:type="paragraph" w:customStyle="1" w:styleId="10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05">
    <w:name w:val="默认段落字体 Para Char"/>
    <w:basedOn w:val="1"/>
    <w:qFormat/>
    <w:uiPriority w:val="0"/>
    <w:rPr>
      <w:rFonts w:ascii="宋体" w:hAnsi="宋体"/>
      <w:b/>
      <w:sz w:val="28"/>
      <w:szCs w:val="28"/>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7">
    <w:name w:val="表格文字"/>
    <w:basedOn w:val="1"/>
    <w:qFormat/>
    <w:uiPriority w:val="0"/>
    <w:pPr>
      <w:spacing w:before="25" w:after="25"/>
      <w:jc w:val="left"/>
    </w:pPr>
    <w:rPr>
      <w:bCs/>
      <w:spacing w:val="10"/>
      <w:kern w:val="0"/>
      <w:sz w:val="24"/>
      <w:szCs w:val="20"/>
    </w:rPr>
  </w:style>
  <w:style w:type="paragraph" w:customStyle="1" w:styleId="1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9">
    <w:name w:val="题注5"/>
    <w:basedOn w:val="1"/>
    <w:next w:val="15"/>
    <w:qFormat/>
    <w:uiPriority w:val="0"/>
    <w:pPr>
      <w:jc w:val="center"/>
    </w:pPr>
    <w:rPr>
      <w:b/>
      <w:color w:val="000000"/>
      <w:sz w:val="24"/>
      <w:szCs w:val="21"/>
    </w:rPr>
  </w:style>
  <w:style w:type="paragraph" w:customStyle="1" w:styleId="110">
    <w:name w:val="Char Char Char Char Char Char Char"/>
    <w:basedOn w:val="1"/>
    <w:qFormat/>
    <w:uiPriority w:val="0"/>
    <w:pPr>
      <w:tabs>
        <w:tab w:val="left" w:pos="425"/>
      </w:tabs>
      <w:ind w:left="425" w:hanging="425"/>
    </w:pPr>
    <w:rPr>
      <w:rFonts w:eastAsia="仿宋_GB2312"/>
      <w:kern w:val="24"/>
      <w:sz w:val="24"/>
    </w:rPr>
  </w:style>
  <w:style w:type="character" w:customStyle="1" w:styleId="111">
    <w:name w:val="Char Char11"/>
    <w:qFormat/>
    <w:uiPriority w:val="0"/>
    <w:rPr>
      <w:rFonts w:ascii="Times New Roman" w:hAnsi="Times New Roman" w:eastAsia="宋体" w:cs="Times New Roman"/>
      <w:kern w:val="2"/>
      <w:sz w:val="21"/>
      <w:szCs w:val="20"/>
    </w:rPr>
  </w:style>
  <w:style w:type="paragraph" w:customStyle="1" w:styleId="112">
    <w:name w:val="题注4"/>
    <w:basedOn w:val="1"/>
    <w:next w:val="15"/>
    <w:qFormat/>
    <w:uiPriority w:val="0"/>
    <w:pPr>
      <w:ind w:left="-132" w:leftChars="-64" w:right="-105" w:rightChars="-50" w:hanging="2"/>
      <w:jc w:val="center"/>
    </w:pPr>
    <w:rPr>
      <w:b/>
      <w:color w:val="FF0000"/>
      <w:szCs w:val="21"/>
      <w:lang w:val="en-GB"/>
    </w:rPr>
  </w:style>
  <w:style w:type="paragraph" w:customStyle="1" w:styleId="113">
    <w:name w:val="Char Char2 Char"/>
    <w:basedOn w:val="1"/>
    <w:qFormat/>
    <w:uiPriority w:val="0"/>
    <w:rPr>
      <w:rFonts w:ascii="宋体" w:hAnsi="宋体"/>
      <w:b/>
      <w:sz w:val="28"/>
      <w:szCs w:val="28"/>
    </w:rPr>
  </w:style>
  <w:style w:type="paragraph" w:customStyle="1" w:styleId="11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办公自动化专用标题"/>
    <w:basedOn w:val="46"/>
    <w:qFormat/>
    <w:uiPriority w:val="0"/>
    <w:pPr>
      <w:spacing w:line="560" w:lineRule="atLeast"/>
    </w:pPr>
    <w:rPr>
      <w:rFonts w:ascii="宋体" w:hAnsi="Arial"/>
      <w:bCs w:val="0"/>
      <w:sz w:val="44"/>
      <w:szCs w:val="20"/>
    </w:rPr>
  </w:style>
  <w:style w:type="paragraph" w:customStyle="1" w:styleId="117">
    <w:name w:val="Zchn Zchn"/>
    <w:basedOn w:val="1"/>
    <w:qFormat/>
    <w:uiPriority w:val="0"/>
    <w:rPr>
      <w:rFonts w:ascii="Tahoma" w:hAnsi="Tahoma"/>
      <w:sz w:val="24"/>
      <w:szCs w:val="20"/>
    </w:rPr>
  </w:style>
  <w:style w:type="paragraph" w:customStyle="1" w:styleId="118">
    <w:name w:val="Char Char Char"/>
    <w:basedOn w:val="1"/>
    <w:qFormat/>
    <w:uiPriority w:val="0"/>
    <w:rPr>
      <w:rFonts w:ascii="Tahoma" w:hAnsi="Tahoma"/>
      <w:sz w:val="24"/>
      <w:szCs w:val="20"/>
    </w:rPr>
  </w:style>
  <w:style w:type="character" w:customStyle="1" w:styleId="119">
    <w:name w:val="fontorange1"/>
    <w:qFormat/>
    <w:uiPriority w:val="0"/>
    <w:rPr>
      <w:rFonts w:hint="default" w:ascii="ˎ̥" w:hAnsi="ˎ̥" w:eastAsia="宋体"/>
      <w:color w:val="FF6600"/>
      <w:kern w:val="2"/>
      <w:sz w:val="18"/>
      <w:szCs w:val="18"/>
      <w:lang w:val="en-US" w:eastAsia="zh-CN" w:bidi="ar-SA"/>
    </w:rPr>
  </w:style>
  <w:style w:type="character" w:customStyle="1" w:styleId="120">
    <w:name w:val="ca-12"/>
    <w:qFormat/>
    <w:uiPriority w:val="0"/>
    <w:rPr>
      <w:rFonts w:eastAsia="宋体" w:cs="Times New Roman"/>
      <w:kern w:val="2"/>
      <w:sz w:val="24"/>
      <w:szCs w:val="24"/>
      <w:lang w:val="en-US" w:eastAsia="zh-CN" w:bidi="ar-SA"/>
    </w:rPr>
  </w:style>
  <w:style w:type="paragraph" w:customStyle="1" w:styleId="121">
    <w:name w:val="Char Char2 Char Char Char Char Char"/>
    <w:basedOn w:val="1"/>
    <w:qFormat/>
    <w:uiPriority w:val="0"/>
    <w:pPr>
      <w:numPr>
        <w:ilvl w:val="0"/>
        <w:numId w:val="3"/>
      </w:numPr>
    </w:pPr>
    <w:rPr>
      <w:sz w:val="24"/>
    </w:rPr>
  </w:style>
  <w:style w:type="paragraph" w:customStyle="1" w:styleId="12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23">
    <w:name w:val="标题-3"/>
    <w:basedOn w:val="1"/>
    <w:link w:val="124"/>
    <w:qFormat/>
    <w:uiPriority w:val="0"/>
    <w:pPr>
      <w:spacing w:beforeLines="50" w:afterLines="50"/>
      <w:outlineLvl w:val="2"/>
    </w:pPr>
    <w:rPr>
      <w:rFonts w:ascii="宋体" w:hAnsi="宋体"/>
      <w:b/>
      <w:kern w:val="0"/>
      <w:sz w:val="24"/>
    </w:rPr>
  </w:style>
  <w:style w:type="character" w:customStyle="1" w:styleId="124">
    <w:name w:val="标题-3 Char"/>
    <w:link w:val="123"/>
    <w:qFormat/>
    <w:uiPriority w:val="0"/>
    <w:rPr>
      <w:rFonts w:ascii="宋体" w:hAnsi="宋体" w:eastAsia="宋体"/>
      <w:b/>
      <w:sz w:val="24"/>
      <w:szCs w:val="24"/>
      <w:lang w:bidi="ar-SA"/>
    </w:rPr>
  </w:style>
  <w:style w:type="paragraph" w:customStyle="1" w:styleId="125">
    <w:name w:val="Char Char Char Char"/>
    <w:basedOn w:val="1"/>
    <w:qFormat/>
    <w:uiPriority w:val="0"/>
    <w:pPr>
      <w:tabs>
        <w:tab w:val="left" w:pos="780"/>
      </w:tabs>
      <w:ind w:left="780" w:hanging="360"/>
    </w:pPr>
    <w:rPr>
      <w:sz w:val="24"/>
    </w:rPr>
  </w:style>
  <w:style w:type="paragraph" w:customStyle="1" w:styleId="12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27">
    <w:name w:val="修订1"/>
    <w:hidden/>
    <w:semiHidden/>
    <w:qFormat/>
    <w:uiPriority w:val="0"/>
    <w:rPr>
      <w:rFonts w:ascii="Times New Roman" w:hAnsi="Times New Roman" w:eastAsia="宋体" w:cs="Times New Roman"/>
      <w:kern w:val="2"/>
      <w:sz w:val="21"/>
      <w:szCs w:val="24"/>
      <w:lang w:val="en-US" w:eastAsia="zh-CN" w:bidi="ar-SA"/>
    </w:rPr>
  </w:style>
  <w:style w:type="character" w:customStyle="1" w:styleId="128">
    <w:name w:val="2nd level Char"/>
    <w:qFormat/>
    <w:uiPriority w:val="0"/>
    <w:rPr>
      <w:rFonts w:ascii="Arial" w:hAnsi="Arial" w:eastAsia="黑体" w:cs="Times New Roman"/>
      <w:b/>
      <w:bCs/>
      <w:kern w:val="2"/>
      <w:sz w:val="32"/>
      <w:szCs w:val="32"/>
    </w:rPr>
  </w:style>
  <w:style w:type="character" w:customStyle="1" w:styleId="129">
    <w:name w:val="Char Char171"/>
    <w:qFormat/>
    <w:uiPriority w:val="0"/>
    <w:rPr>
      <w:rFonts w:ascii="Calibri" w:hAnsi="Calibri" w:eastAsia="宋体" w:cs="Times New Roman"/>
      <w:b/>
      <w:bCs/>
      <w:kern w:val="2"/>
      <w:sz w:val="32"/>
      <w:szCs w:val="32"/>
      <w:lang w:val="en-US" w:eastAsia="zh-CN" w:bidi="ar-SA"/>
    </w:rPr>
  </w:style>
  <w:style w:type="character" w:customStyle="1" w:styleId="130">
    <w:name w:val="Char Char9"/>
    <w:qFormat/>
    <w:uiPriority w:val="0"/>
    <w:rPr>
      <w:rFonts w:ascii="Calibri" w:hAnsi="Calibri" w:eastAsia="宋体" w:cs="Times New Roman"/>
      <w:kern w:val="2"/>
      <w:sz w:val="18"/>
      <w:szCs w:val="18"/>
      <w:lang w:val="en-US" w:eastAsia="zh-CN" w:bidi="ar-SA"/>
    </w:rPr>
  </w:style>
  <w:style w:type="paragraph" w:customStyle="1" w:styleId="131">
    <w:name w:val="List Paragraph1"/>
    <w:basedOn w:val="1"/>
    <w:qFormat/>
    <w:uiPriority w:val="0"/>
    <w:pPr>
      <w:widowControl/>
      <w:spacing w:after="200" w:line="276" w:lineRule="auto"/>
      <w:ind w:left="720"/>
      <w:jc w:val="left"/>
    </w:pPr>
    <w:rPr>
      <w:rFonts w:ascii="Calibri" w:hAnsi="Calibri"/>
      <w:kern w:val="0"/>
      <w:sz w:val="22"/>
      <w:szCs w:val="22"/>
    </w:rPr>
  </w:style>
  <w:style w:type="character" w:customStyle="1" w:styleId="132">
    <w:name w:val="无缩进 Char"/>
    <w:qFormat/>
    <w:uiPriority w:val="0"/>
    <w:rPr>
      <w:rFonts w:ascii="Times New Roman" w:hAnsi="Times New Roman" w:eastAsia="宋体" w:cs="Times New Roman"/>
      <w:kern w:val="2"/>
      <w:sz w:val="21"/>
      <w:szCs w:val="20"/>
    </w:rPr>
  </w:style>
  <w:style w:type="character" w:customStyle="1" w:styleId="133">
    <w:name w:val="short_text"/>
    <w:qFormat/>
    <w:uiPriority w:val="0"/>
    <w:rPr>
      <w:rFonts w:eastAsia="宋体"/>
      <w:kern w:val="2"/>
      <w:sz w:val="24"/>
      <w:szCs w:val="24"/>
      <w:lang w:val="en-US" w:eastAsia="zh-CN" w:bidi="ar-SA"/>
    </w:rPr>
  </w:style>
  <w:style w:type="paragraph" w:customStyle="1" w:styleId="134">
    <w:name w:val="TOC 标题1"/>
    <w:basedOn w:val="3"/>
    <w:next w:val="1"/>
    <w:qFormat/>
    <w:uiPriority w:val="0"/>
    <w:pPr>
      <w:widowControl/>
      <w:numPr>
        <w:ilvl w:val="0"/>
        <w:numId w:val="4"/>
      </w:numPr>
      <w:spacing w:before="480" w:after="0" w:line="276" w:lineRule="auto"/>
      <w:jc w:val="left"/>
      <w:outlineLvl w:val="9"/>
    </w:pPr>
    <w:rPr>
      <w:rFonts w:ascii="Cambria" w:hAnsi="Cambria"/>
      <w:color w:val="365F91"/>
      <w:kern w:val="0"/>
      <w:sz w:val="28"/>
      <w:szCs w:val="28"/>
    </w:rPr>
  </w:style>
  <w:style w:type="paragraph" w:customStyle="1" w:styleId="135">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6">
    <w:name w:val="四级标题"/>
    <w:basedOn w:val="1"/>
    <w:link w:val="137"/>
    <w:qFormat/>
    <w:uiPriority w:val="0"/>
    <w:pPr>
      <w:numPr>
        <w:ilvl w:val="0"/>
        <w:numId w:val="5"/>
      </w:numPr>
      <w:spacing w:line="360" w:lineRule="auto"/>
      <w:outlineLvl w:val="3"/>
    </w:pPr>
    <w:rPr>
      <w:rFonts w:ascii="Calibri" w:hAnsi="Calibri" w:eastAsia="黑体"/>
      <w:b/>
      <w:sz w:val="28"/>
      <w:szCs w:val="20"/>
    </w:rPr>
  </w:style>
  <w:style w:type="character" w:customStyle="1" w:styleId="137">
    <w:name w:val="四级标题 Char"/>
    <w:link w:val="136"/>
    <w:qFormat/>
    <w:uiPriority w:val="0"/>
    <w:rPr>
      <w:rFonts w:eastAsia="黑体"/>
      <w:b/>
      <w:kern w:val="2"/>
      <w:sz w:val="28"/>
      <w:lang w:bidi="ar-SA"/>
    </w:rPr>
  </w:style>
  <w:style w:type="paragraph" w:customStyle="1" w:styleId="138">
    <w:name w:val="五级标题"/>
    <w:basedOn w:val="1"/>
    <w:link w:val="139"/>
    <w:qFormat/>
    <w:uiPriority w:val="0"/>
    <w:pPr>
      <w:numPr>
        <w:ilvl w:val="0"/>
        <w:numId w:val="6"/>
      </w:numPr>
      <w:spacing w:line="360" w:lineRule="auto"/>
      <w:outlineLvl w:val="4"/>
    </w:pPr>
    <w:rPr>
      <w:rFonts w:ascii="Calibri" w:hAnsi="Calibri" w:eastAsia="黑体"/>
      <w:b/>
      <w:sz w:val="28"/>
      <w:szCs w:val="20"/>
    </w:rPr>
  </w:style>
  <w:style w:type="character" w:customStyle="1" w:styleId="139">
    <w:name w:val="五级标题 Char"/>
    <w:link w:val="138"/>
    <w:qFormat/>
    <w:uiPriority w:val="0"/>
    <w:rPr>
      <w:rFonts w:eastAsia="黑体"/>
      <w:b/>
      <w:kern w:val="2"/>
      <w:sz w:val="28"/>
      <w:lang w:bidi="ar-SA"/>
    </w:rPr>
  </w:style>
  <w:style w:type="paragraph" w:customStyle="1" w:styleId="140">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1">
    <w:name w:val="招标文件样式2"/>
    <w:basedOn w:val="1"/>
    <w:qFormat/>
    <w:uiPriority w:val="0"/>
    <w:pPr>
      <w:jc w:val="center"/>
      <w:outlineLvl w:val="0"/>
    </w:pPr>
    <w:rPr>
      <w:rFonts w:ascii="宋体" w:hAnsi="宋体"/>
      <w:b/>
      <w:sz w:val="28"/>
      <w:szCs w:val="28"/>
    </w:rPr>
  </w:style>
  <w:style w:type="paragraph" w:customStyle="1" w:styleId="14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27</Pages>
  <Words>2461</Words>
  <Characters>14033</Characters>
  <Lines>116</Lines>
  <Paragraphs>32</Paragraphs>
  <TotalTime>4</TotalTime>
  <ScaleCrop>false</ScaleCrop>
  <LinksUpToDate>false</LinksUpToDate>
  <CharactersWithSpaces>16462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2017-07-11T03:35:00Z</dcterms:created>
  <dc:creator>唐冰</dc:creator>
  <cp:lastModifiedBy>庞东牌</cp:lastModifiedBy>
  <cp:lastPrinted>2019-06-01T00:22:00Z</cp:lastPrinted>
  <dcterms:modified xsi:type="dcterms:W3CDTF">2020-05-13T03:44:02Z</dcterms:modified>
  <dc:title>竞争性谈判文件规范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