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b/>
          <w:color w:val="FF0000"/>
          <w:sz w:val="72"/>
          <w:szCs w:val="72"/>
          <w:highlight w:val="none"/>
        </w:rPr>
      </w:pPr>
    </w:p>
    <w:p>
      <w:pPr>
        <w:spacing w:beforeLines="100" w:afterLines="50" w:line="600" w:lineRule="exact"/>
        <w:jc w:val="center"/>
        <w:rPr>
          <w:rFonts w:ascii="宋体" w:hAnsi="宋体"/>
          <w:b/>
          <w:color w:val="auto"/>
          <w:sz w:val="72"/>
          <w:szCs w:val="72"/>
          <w:highlight w:val="none"/>
        </w:rPr>
      </w:pPr>
    </w:p>
    <w:p>
      <w:pPr>
        <w:spacing w:beforeLines="100" w:afterLines="50" w:line="600" w:lineRule="exact"/>
        <w:jc w:val="center"/>
        <w:rPr>
          <w:rFonts w:ascii="宋体" w:hAnsi="宋体"/>
          <w:b/>
          <w:color w:val="auto"/>
          <w:sz w:val="72"/>
          <w:szCs w:val="72"/>
          <w:highlight w:val="none"/>
        </w:rPr>
      </w:pPr>
    </w:p>
    <w:p>
      <w:pPr>
        <w:spacing w:beforeLines="100" w:afterLines="50" w:line="600" w:lineRule="exact"/>
        <w:jc w:val="center"/>
        <w:rPr>
          <w:rFonts w:hint="eastAsia" w:ascii="方正小标宋_GBK" w:hAnsi="方正小标宋_GBK" w:eastAsia="方正小标宋_GBK" w:cs="方正小标宋_GBK"/>
          <w:b w:val="0"/>
          <w:bCs/>
          <w:color w:val="auto"/>
          <w:sz w:val="72"/>
          <w:szCs w:val="72"/>
          <w:highlight w:val="none"/>
        </w:rPr>
      </w:pPr>
      <w:r>
        <w:rPr>
          <w:rFonts w:hint="eastAsia" w:ascii="方正小标宋_GBK" w:hAnsi="方正小标宋_GBK" w:eastAsia="方正小标宋_GBK" w:cs="方正小标宋_GBK"/>
          <w:b w:val="0"/>
          <w:bCs/>
          <w:color w:val="auto"/>
          <w:sz w:val="72"/>
          <w:szCs w:val="72"/>
          <w:highlight w:val="none"/>
        </w:rPr>
        <w:t>谈判采购文件</w:t>
      </w:r>
    </w:p>
    <w:p>
      <w:pPr>
        <w:spacing w:beforeLines="100" w:afterLines="50" w:line="600" w:lineRule="exact"/>
        <w:jc w:val="center"/>
        <w:rPr>
          <w:rFonts w:ascii="宋体" w:hAnsi="宋体"/>
          <w:b/>
          <w:color w:val="auto"/>
          <w:sz w:val="72"/>
          <w:szCs w:val="72"/>
          <w:highlight w:val="none"/>
        </w:rPr>
      </w:pPr>
    </w:p>
    <w:p>
      <w:pPr>
        <w:spacing w:beforeLines="100" w:afterLines="50" w:line="600" w:lineRule="exact"/>
        <w:jc w:val="center"/>
        <w:rPr>
          <w:rFonts w:ascii="宋体" w:hAnsi="宋体"/>
          <w:b/>
          <w:color w:val="auto"/>
          <w:sz w:val="72"/>
          <w:szCs w:val="72"/>
          <w:highlight w:val="none"/>
        </w:rPr>
      </w:pPr>
    </w:p>
    <w:p>
      <w:pPr>
        <w:spacing w:line="400" w:lineRule="exact"/>
        <w:jc w:val="center"/>
        <w:rPr>
          <w:rFonts w:ascii="宋体" w:hAnsi="宋体"/>
          <w:b/>
          <w:color w:val="auto"/>
          <w:sz w:val="32"/>
          <w:szCs w:val="32"/>
          <w:highlight w:val="none"/>
        </w:rPr>
      </w:pPr>
    </w:p>
    <w:p>
      <w:pPr>
        <w:spacing w:line="400" w:lineRule="exact"/>
        <w:ind w:right="804" w:rightChars="383" w:firstLine="321" w:firstLineChars="100"/>
        <w:rPr>
          <w:rFonts w:ascii="宋体" w:hAnsi="宋体"/>
          <w:b/>
          <w:color w:val="auto"/>
          <w:sz w:val="32"/>
          <w:szCs w:val="32"/>
          <w:highlight w:val="none"/>
        </w:rPr>
      </w:pPr>
      <w:r>
        <w:rPr>
          <w:rFonts w:hint="eastAsia" w:ascii="宋体" w:hAnsi="宋体"/>
          <w:b/>
          <w:color w:val="auto"/>
          <w:sz w:val="32"/>
          <w:szCs w:val="32"/>
          <w:highlight w:val="none"/>
        </w:rPr>
        <w:t>项目编号：</w:t>
      </w:r>
      <w:r>
        <w:rPr>
          <w:rFonts w:hint="default" w:ascii="Times New Roman" w:hAnsi="Times New Roman" w:eastAsia="微软雅黑" w:cs="Times New Roman"/>
          <w:i w:val="0"/>
          <w:caps w:val="0"/>
          <w:color w:val="111F2C"/>
          <w:spacing w:val="0"/>
          <w:sz w:val="32"/>
          <w:szCs w:val="32"/>
          <w:shd w:val="clear" w:color="auto" w:fill="FFFFFF"/>
        </w:rPr>
        <w:t>GIEG2020HZ-0047</w:t>
      </w:r>
    </w:p>
    <w:p>
      <w:pPr>
        <w:spacing w:line="400" w:lineRule="exact"/>
        <w:ind w:right="804" w:rightChars="383"/>
        <w:jc w:val="center"/>
        <w:rPr>
          <w:rFonts w:ascii="宋体" w:hAnsi="宋体"/>
          <w:b/>
          <w:color w:val="auto"/>
          <w:sz w:val="32"/>
          <w:szCs w:val="32"/>
          <w:highlight w:val="none"/>
        </w:rPr>
      </w:pPr>
    </w:p>
    <w:p>
      <w:pPr>
        <w:spacing w:line="400" w:lineRule="exact"/>
        <w:ind w:right="-44" w:rightChars="-21" w:firstLine="321" w:firstLineChars="100"/>
        <w:rPr>
          <w:rFonts w:ascii="宋体" w:hAnsi="宋体"/>
          <w:b/>
          <w:color w:val="auto"/>
          <w:sz w:val="32"/>
          <w:szCs w:val="32"/>
          <w:highlight w:val="none"/>
        </w:rPr>
      </w:pPr>
      <w:r>
        <w:rPr>
          <w:rFonts w:hint="eastAsia" w:ascii="宋体" w:hAnsi="宋体"/>
          <w:b/>
          <w:color w:val="auto"/>
          <w:sz w:val="32"/>
          <w:szCs w:val="32"/>
          <w:highlight w:val="none"/>
        </w:rPr>
        <w:t>项目名称：南宁国际会展中心球馆</w:t>
      </w:r>
      <w:r>
        <w:rPr>
          <w:rFonts w:hint="eastAsia" w:ascii="宋体" w:hAnsi="宋体"/>
          <w:b/>
          <w:color w:val="auto"/>
          <w:sz w:val="32"/>
          <w:szCs w:val="32"/>
          <w:highlight w:val="none"/>
          <w:lang w:eastAsia="zh-CN"/>
        </w:rPr>
        <w:t>设施</w:t>
      </w:r>
      <w:r>
        <w:rPr>
          <w:rFonts w:hint="eastAsia" w:ascii="宋体" w:hAnsi="宋体"/>
          <w:b/>
          <w:color w:val="auto"/>
          <w:sz w:val="32"/>
          <w:szCs w:val="32"/>
          <w:highlight w:val="none"/>
        </w:rPr>
        <w:t>搬</w:t>
      </w:r>
      <w:r>
        <w:rPr>
          <w:rFonts w:hint="eastAsia" w:ascii="宋体" w:hAnsi="宋体"/>
          <w:b/>
          <w:color w:val="auto"/>
          <w:sz w:val="32"/>
          <w:szCs w:val="32"/>
          <w:highlight w:val="none"/>
          <w:lang w:eastAsia="zh-CN"/>
        </w:rPr>
        <w:t>运</w:t>
      </w:r>
      <w:r>
        <w:rPr>
          <w:rFonts w:hint="eastAsia" w:ascii="宋体" w:hAnsi="宋体"/>
          <w:b/>
          <w:color w:val="auto"/>
          <w:sz w:val="32"/>
          <w:szCs w:val="32"/>
          <w:highlight w:val="none"/>
        </w:rPr>
        <w:t>拆装服务采购</w:t>
      </w:r>
    </w:p>
    <w:p>
      <w:pPr>
        <w:spacing w:line="400" w:lineRule="exact"/>
        <w:ind w:right="804" w:rightChars="383"/>
        <w:jc w:val="center"/>
        <w:rPr>
          <w:rFonts w:ascii="宋体" w:hAnsi="宋体"/>
          <w:b/>
          <w:color w:val="auto"/>
          <w:sz w:val="32"/>
          <w:szCs w:val="32"/>
          <w:highlight w:val="none"/>
        </w:rPr>
      </w:pPr>
    </w:p>
    <w:p>
      <w:pPr>
        <w:spacing w:line="400" w:lineRule="exact"/>
        <w:ind w:right="804" w:rightChars="383" w:firstLine="321" w:firstLineChars="100"/>
        <w:rPr>
          <w:rFonts w:ascii="宋体" w:hAnsi="宋体"/>
          <w:b/>
          <w:color w:val="auto"/>
          <w:sz w:val="32"/>
          <w:szCs w:val="32"/>
          <w:highlight w:val="none"/>
        </w:rPr>
      </w:pPr>
      <w:r>
        <w:rPr>
          <w:rFonts w:hint="eastAsia" w:ascii="宋体" w:hAnsi="宋体"/>
          <w:b/>
          <w:color w:val="auto"/>
          <w:sz w:val="32"/>
          <w:szCs w:val="32"/>
          <w:highlight w:val="none"/>
        </w:rPr>
        <w:t>采购单位：广西东博会场馆运营有限公司</w:t>
      </w:r>
    </w:p>
    <w:p>
      <w:pPr>
        <w:spacing w:line="400" w:lineRule="exact"/>
        <w:ind w:right="804" w:rightChars="383"/>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2020年</w:t>
      </w:r>
      <w:r>
        <w:rPr>
          <w:rFonts w:hint="default" w:ascii="宋体" w:hAnsi="宋体"/>
          <w:b/>
          <w:color w:val="auto"/>
          <w:sz w:val="32"/>
          <w:szCs w:val="32"/>
          <w:highlight w:val="none"/>
        </w:rPr>
        <w:t>5</w:t>
      </w:r>
      <w:r>
        <w:rPr>
          <w:rFonts w:hint="eastAsia" w:ascii="宋体" w:hAnsi="宋体"/>
          <w:b/>
          <w:color w:val="auto"/>
          <w:sz w:val="32"/>
          <w:szCs w:val="32"/>
          <w:highlight w:val="none"/>
        </w:rPr>
        <w:t>月</w:t>
      </w: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sectPr>
          <w:headerReference r:id="rId5" w:type="first"/>
          <w:headerReference r:id="rId3" w:type="default"/>
          <w:headerReference r:id="rId4" w:type="even"/>
          <w:footerReference r:id="rId6" w:type="even"/>
          <w:pgSz w:w="11906" w:h="16838"/>
          <w:pgMar w:top="1440" w:right="1646" w:bottom="1440" w:left="1800" w:header="851" w:footer="992" w:gutter="0"/>
          <w:pgNumType w:start="0"/>
          <w:cols w:space="425" w:num="1"/>
          <w:titlePg/>
          <w:docGrid w:type="lines" w:linePitch="312" w:charSpace="0"/>
        </w:sect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pPr>
        <w:spacing w:line="400" w:lineRule="exact"/>
        <w:jc w:val="center"/>
        <w:rPr>
          <w:rFonts w:ascii="宋体" w:hAnsi="宋体"/>
          <w:b/>
          <w:color w:val="auto"/>
          <w:sz w:val="44"/>
          <w:szCs w:val="44"/>
          <w:highlight w:val="none"/>
        </w:rPr>
      </w:pPr>
    </w:p>
    <w:p>
      <w:pPr>
        <w:pStyle w:val="41"/>
        <w:tabs>
          <w:tab w:val="left" w:pos="1230"/>
          <w:tab w:val="right" w:leader="dot" w:pos="8296"/>
        </w:tabs>
        <w:spacing w:line="360" w:lineRule="auto"/>
        <w:rPr>
          <w:rFonts w:ascii="宋体" w:hAnsi="宋体"/>
          <w:color w:val="auto"/>
          <w:sz w:val="24"/>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TOC \o "1-3" \h \z \u</w:instrText>
      </w:r>
      <w:r>
        <w:rPr>
          <w:rFonts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"_Toc393040184" </w:instrText>
      </w:r>
      <w:r>
        <w:rPr>
          <w:color w:val="auto"/>
          <w:highlight w:val="none"/>
        </w:rPr>
        <w:fldChar w:fldCharType="separate"/>
      </w:r>
      <w:r>
        <w:rPr>
          <w:rStyle w:val="54"/>
          <w:rFonts w:hint="eastAsia" w:ascii="宋体" w:hAnsi="宋体"/>
          <w:color w:val="auto"/>
          <w:sz w:val="24"/>
          <w:highlight w:val="none"/>
        </w:rPr>
        <w:t>第一章</w:t>
      </w:r>
      <w:r>
        <w:rPr>
          <w:rFonts w:ascii="宋体" w:hAnsi="宋体"/>
          <w:color w:val="auto"/>
          <w:sz w:val="24"/>
          <w:highlight w:val="none"/>
        </w:rPr>
        <w:tab/>
      </w:r>
      <w:r>
        <w:rPr>
          <w:rStyle w:val="54"/>
          <w:rFonts w:hint="eastAsia" w:ascii="宋体" w:hAnsi="宋体"/>
          <w:color w:val="auto"/>
          <w:sz w:val="24"/>
          <w:highlight w:val="none"/>
        </w:rPr>
        <w:t>谈判采购公告</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_Toc393040184 \h </w:instrText>
      </w:r>
      <w:r>
        <w:rPr>
          <w:rFonts w:ascii="宋体" w:hAnsi="宋体"/>
          <w:color w:val="auto"/>
          <w:sz w:val="24"/>
          <w:highlight w:val="none"/>
        </w:rPr>
        <w:fldChar w:fldCharType="separate"/>
      </w:r>
      <w:r>
        <w:rPr>
          <w:rFonts w:ascii="宋体" w:hAnsi="宋体"/>
          <w:color w:val="auto"/>
          <w:sz w:val="24"/>
          <w:highlight w:val="none"/>
        </w:rPr>
        <w:t>1</w:t>
      </w:r>
      <w:r>
        <w:rPr>
          <w:rFonts w:ascii="宋体" w:hAnsi="宋体"/>
          <w:color w:val="auto"/>
          <w:sz w:val="24"/>
          <w:highlight w:val="none"/>
        </w:rPr>
        <w:fldChar w:fldCharType="end"/>
      </w:r>
      <w:r>
        <w:rPr>
          <w:rFonts w:ascii="宋体" w:hAnsi="宋体"/>
          <w:color w:val="auto"/>
          <w:sz w:val="24"/>
          <w:highlight w:val="none"/>
        </w:rPr>
        <w:fldChar w:fldCharType="end"/>
      </w:r>
    </w:p>
    <w:p>
      <w:pPr>
        <w:pStyle w:val="41"/>
        <w:tabs>
          <w:tab w:val="right" w:leader="dot" w:pos="8296"/>
        </w:tabs>
        <w:spacing w:line="360" w:lineRule="auto"/>
        <w:rPr>
          <w:rFonts w:ascii="宋体" w:hAnsi="宋体"/>
          <w:color w:val="auto"/>
          <w:sz w:val="24"/>
          <w:highlight w:val="none"/>
        </w:rPr>
      </w:pPr>
      <w:r>
        <w:rPr>
          <w:color w:val="auto"/>
          <w:highlight w:val="none"/>
        </w:rPr>
        <w:fldChar w:fldCharType="begin"/>
      </w:r>
      <w:r>
        <w:rPr>
          <w:color w:val="auto"/>
          <w:highlight w:val="none"/>
        </w:rPr>
        <w:instrText xml:space="preserve"> HYPERLINK \l "_Toc393040185" </w:instrText>
      </w:r>
      <w:r>
        <w:rPr>
          <w:color w:val="auto"/>
          <w:highlight w:val="none"/>
        </w:rPr>
        <w:fldChar w:fldCharType="separate"/>
      </w:r>
      <w:r>
        <w:rPr>
          <w:rStyle w:val="54"/>
          <w:rFonts w:hint="eastAsia" w:ascii="宋体" w:hAnsi="宋体"/>
          <w:color w:val="auto"/>
          <w:sz w:val="24"/>
          <w:highlight w:val="none"/>
        </w:rPr>
        <w:t>第二章供应商须知</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_Toc393040185 \h </w:instrText>
      </w:r>
      <w:r>
        <w:rPr>
          <w:rFonts w:ascii="宋体" w:hAnsi="宋体"/>
          <w:color w:val="auto"/>
          <w:sz w:val="24"/>
          <w:highlight w:val="none"/>
        </w:rPr>
        <w:fldChar w:fldCharType="separate"/>
      </w:r>
      <w:r>
        <w:rPr>
          <w:rFonts w:ascii="宋体" w:hAnsi="宋体"/>
          <w:color w:val="auto"/>
          <w:sz w:val="24"/>
          <w:highlight w:val="none"/>
        </w:rPr>
        <w:t>2</w:t>
      </w:r>
      <w:r>
        <w:rPr>
          <w:rFonts w:ascii="宋体" w:hAnsi="宋体"/>
          <w:color w:val="auto"/>
          <w:sz w:val="24"/>
          <w:highlight w:val="none"/>
        </w:rPr>
        <w:fldChar w:fldCharType="end"/>
      </w:r>
      <w:r>
        <w:rPr>
          <w:rFonts w:ascii="宋体" w:hAnsi="宋体"/>
          <w:color w:val="auto"/>
          <w:sz w:val="24"/>
          <w:highlight w:val="none"/>
        </w:rPr>
        <w:fldChar w:fldCharType="end"/>
      </w:r>
    </w:p>
    <w:p>
      <w:pPr>
        <w:pStyle w:val="41"/>
        <w:tabs>
          <w:tab w:val="right" w:leader="dot" w:pos="8296"/>
        </w:tabs>
        <w:spacing w:line="360" w:lineRule="auto"/>
        <w:rPr>
          <w:rFonts w:ascii="宋体" w:hAnsi="宋体"/>
          <w:color w:val="auto"/>
          <w:sz w:val="24"/>
          <w:highlight w:val="none"/>
        </w:rPr>
      </w:pPr>
      <w:r>
        <w:rPr>
          <w:color w:val="auto"/>
          <w:highlight w:val="none"/>
        </w:rPr>
        <w:fldChar w:fldCharType="begin"/>
      </w:r>
      <w:r>
        <w:rPr>
          <w:color w:val="auto"/>
          <w:highlight w:val="none"/>
        </w:rPr>
        <w:instrText xml:space="preserve"> HYPERLINK \l "_Toc393040186" </w:instrText>
      </w:r>
      <w:r>
        <w:rPr>
          <w:color w:val="auto"/>
          <w:highlight w:val="none"/>
        </w:rPr>
        <w:fldChar w:fldCharType="separate"/>
      </w:r>
      <w:r>
        <w:rPr>
          <w:rStyle w:val="54"/>
          <w:rFonts w:hint="eastAsia" w:ascii="宋体" w:hAnsi="宋体"/>
          <w:color w:val="auto"/>
          <w:sz w:val="24"/>
          <w:highlight w:val="none"/>
        </w:rPr>
        <w:t>第三章项目需求</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_Toc393040186 \h </w:instrText>
      </w:r>
      <w:r>
        <w:rPr>
          <w:rFonts w:ascii="宋体" w:hAnsi="宋体"/>
          <w:color w:val="auto"/>
          <w:sz w:val="24"/>
          <w:highlight w:val="none"/>
        </w:rPr>
        <w:fldChar w:fldCharType="separate"/>
      </w:r>
      <w:r>
        <w:rPr>
          <w:rFonts w:ascii="宋体" w:hAnsi="宋体"/>
          <w:color w:val="auto"/>
          <w:sz w:val="24"/>
          <w:highlight w:val="none"/>
        </w:rPr>
        <w:t>9</w:t>
      </w:r>
      <w:r>
        <w:rPr>
          <w:rFonts w:ascii="宋体" w:hAnsi="宋体"/>
          <w:color w:val="auto"/>
          <w:sz w:val="24"/>
          <w:highlight w:val="none"/>
        </w:rPr>
        <w:fldChar w:fldCharType="end"/>
      </w:r>
      <w:r>
        <w:rPr>
          <w:rFonts w:ascii="宋体" w:hAnsi="宋体"/>
          <w:color w:val="auto"/>
          <w:sz w:val="24"/>
          <w:highlight w:val="none"/>
        </w:rPr>
        <w:fldChar w:fldCharType="end"/>
      </w:r>
    </w:p>
    <w:p>
      <w:pPr>
        <w:pStyle w:val="41"/>
        <w:tabs>
          <w:tab w:val="right" w:leader="dot" w:pos="8296"/>
        </w:tabs>
        <w:spacing w:line="360" w:lineRule="auto"/>
        <w:rPr>
          <w:rFonts w:ascii="宋体" w:hAnsi="宋体"/>
          <w:color w:val="auto"/>
          <w:sz w:val="24"/>
          <w:highlight w:val="none"/>
        </w:rPr>
      </w:pPr>
      <w:r>
        <w:rPr>
          <w:color w:val="auto"/>
          <w:highlight w:val="none"/>
        </w:rPr>
        <w:fldChar w:fldCharType="begin"/>
      </w:r>
      <w:r>
        <w:rPr>
          <w:color w:val="auto"/>
          <w:highlight w:val="none"/>
        </w:rPr>
        <w:instrText xml:space="preserve"> HYPERLINK \l "_Toc393040187" </w:instrText>
      </w:r>
      <w:r>
        <w:rPr>
          <w:color w:val="auto"/>
          <w:highlight w:val="none"/>
        </w:rPr>
        <w:fldChar w:fldCharType="separate"/>
      </w:r>
      <w:r>
        <w:rPr>
          <w:rStyle w:val="54"/>
          <w:rFonts w:hint="eastAsia" w:ascii="宋体" w:hAnsi="宋体"/>
          <w:color w:val="auto"/>
          <w:sz w:val="24"/>
          <w:highlight w:val="none"/>
        </w:rPr>
        <w:t>第四章评审方法</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_Toc393040187 \h </w:instrText>
      </w:r>
      <w:r>
        <w:rPr>
          <w:rFonts w:ascii="宋体" w:hAnsi="宋体"/>
          <w:color w:val="auto"/>
          <w:sz w:val="24"/>
          <w:highlight w:val="none"/>
        </w:rPr>
        <w:fldChar w:fldCharType="separate"/>
      </w:r>
      <w:r>
        <w:rPr>
          <w:rFonts w:ascii="宋体" w:hAnsi="宋体"/>
          <w:color w:val="auto"/>
          <w:sz w:val="24"/>
          <w:highlight w:val="none"/>
        </w:rPr>
        <w:t>13</w:t>
      </w:r>
      <w:r>
        <w:rPr>
          <w:rFonts w:ascii="宋体" w:hAnsi="宋体"/>
          <w:color w:val="auto"/>
          <w:sz w:val="24"/>
          <w:highlight w:val="none"/>
        </w:rPr>
        <w:fldChar w:fldCharType="end"/>
      </w:r>
      <w:r>
        <w:rPr>
          <w:rFonts w:ascii="宋体" w:hAnsi="宋体"/>
          <w:color w:val="auto"/>
          <w:sz w:val="24"/>
          <w:highlight w:val="none"/>
        </w:rPr>
        <w:fldChar w:fldCharType="end"/>
      </w:r>
    </w:p>
    <w:p>
      <w:pPr>
        <w:pStyle w:val="41"/>
        <w:tabs>
          <w:tab w:val="right" w:leader="dot" w:pos="8296"/>
        </w:tabs>
        <w:spacing w:line="360" w:lineRule="auto"/>
        <w:rPr>
          <w:rFonts w:ascii="宋体" w:hAnsi="宋体"/>
          <w:color w:val="auto"/>
          <w:sz w:val="24"/>
          <w:highlight w:val="none"/>
        </w:rPr>
      </w:pPr>
      <w:r>
        <w:rPr>
          <w:color w:val="auto"/>
          <w:highlight w:val="none"/>
        </w:rPr>
        <w:fldChar w:fldCharType="begin"/>
      </w:r>
      <w:r>
        <w:rPr>
          <w:color w:val="auto"/>
          <w:highlight w:val="none"/>
        </w:rPr>
        <w:instrText xml:space="preserve"> HYPERLINK \l "_Toc393040191" </w:instrText>
      </w:r>
      <w:r>
        <w:rPr>
          <w:color w:val="auto"/>
          <w:highlight w:val="none"/>
        </w:rPr>
        <w:fldChar w:fldCharType="separate"/>
      </w:r>
      <w:r>
        <w:rPr>
          <w:rStyle w:val="54"/>
          <w:rFonts w:hint="eastAsia" w:ascii="宋体" w:hAnsi="宋体"/>
          <w:color w:val="auto"/>
          <w:sz w:val="24"/>
          <w:highlight w:val="none"/>
        </w:rPr>
        <w:t>第五章响应文件格式</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_Toc393040191 \h </w:instrText>
      </w:r>
      <w:r>
        <w:rPr>
          <w:rFonts w:ascii="宋体" w:hAnsi="宋体"/>
          <w:color w:val="auto"/>
          <w:sz w:val="24"/>
          <w:highlight w:val="none"/>
        </w:rPr>
        <w:fldChar w:fldCharType="separate"/>
      </w:r>
      <w:r>
        <w:rPr>
          <w:rFonts w:ascii="宋体" w:hAnsi="宋体"/>
          <w:color w:val="auto"/>
          <w:sz w:val="24"/>
          <w:highlight w:val="none"/>
        </w:rPr>
        <w:t>14</w:t>
      </w:r>
      <w:r>
        <w:rPr>
          <w:rFonts w:ascii="宋体" w:hAnsi="宋体"/>
          <w:color w:val="auto"/>
          <w:sz w:val="24"/>
          <w:highlight w:val="none"/>
        </w:rPr>
        <w:fldChar w:fldCharType="end"/>
      </w:r>
      <w:r>
        <w:rPr>
          <w:rFonts w:ascii="宋体" w:hAnsi="宋体"/>
          <w:color w:val="auto"/>
          <w:sz w:val="24"/>
          <w:highlight w:val="none"/>
        </w:rPr>
        <w:fldChar w:fldCharType="end"/>
      </w:r>
    </w:p>
    <w:p>
      <w:pPr>
        <w:pStyle w:val="41"/>
        <w:tabs>
          <w:tab w:val="left" w:pos="1470"/>
          <w:tab w:val="right" w:leader="dot" w:pos="8296"/>
        </w:tabs>
        <w:spacing w:line="360" w:lineRule="auto"/>
        <w:rPr>
          <w:rFonts w:ascii="宋体" w:hAnsi="宋体"/>
          <w:color w:val="auto"/>
          <w:sz w:val="24"/>
          <w:highlight w:val="none"/>
        </w:rPr>
      </w:pPr>
      <w:r>
        <w:rPr>
          <w:color w:val="auto"/>
          <w:highlight w:val="none"/>
        </w:rPr>
        <w:fldChar w:fldCharType="begin"/>
      </w:r>
      <w:r>
        <w:rPr>
          <w:color w:val="auto"/>
          <w:highlight w:val="none"/>
        </w:rPr>
        <w:instrText xml:space="preserve"> HYPERLINK \l "_Toc393040203" </w:instrText>
      </w:r>
      <w:r>
        <w:rPr>
          <w:color w:val="auto"/>
          <w:highlight w:val="none"/>
        </w:rPr>
        <w:fldChar w:fldCharType="separate"/>
      </w:r>
      <w:r>
        <w:rPr>
          <w:rStyle w:val="54"/>
          <w:rFonts w:hint="eastAsia" w:ascii="宋体" w:hAnsi="宋体"/>
          <w:color w:val="auto"/>
          <w:sz w:val="24"/>
          <w:highlight w:val="none"/>
        </w:rPr>
        <w:t>第六章 合同主要条款</w:t>
      </w:r>
      <w:r>
        <w:rPr>
          <w:rFonts w:ascii="宋体" w:hAnsi="宋体"/>
          <w:color w:val="auto"/>
          <w:sz w:val="24"/>
          <w:highlight w:val="none"/>
        </w:rPr>
        <w:tab/>
      </w:r>
      <w:r>
        <w:rPr>
          <w:rFonts w:ascii="宋体" w:hAnsi="宋体"/>
          <w:color w:val="auto"/>
          <w:sz w:val="24"/>
          <w:highlight w:val="none"/>
        </w:rPr>
        <w:fldChar w:fldCharType="end"/>
      </w:r>
      <w:r>
        <w:rPr>
          <w:rFonts w:hint="eastAsia" w:ascii="宋体" w:hAnsi="宋体"/>
          <w:color w:val="auto"/>
          <w:sz w:val="24"/>
          <w:highlight w:val="none"/>
        </w:rPr>
        <w:t>22</w:t>
      </w:r>
    </w:p>
    <w:p>
      <w:pPr>
        <w:spacing w:line="360" w:lineRule="auto"/>
        <w:jc w:val="left"/>
        <w:rPr>
          <w:rFonts w:ascii="宋体" w:hAnsi="宋体"/>
          <w:b/>
          <w:color w:val="auto"/>
          <w:sz w:val="30"/>
          <w:szCs w:val="30"/>
          <w:highlight w:val="none"/>
        </w:rPr>
      </w:pPr>
      <w:r>
        <w:rPr>
          <w:rFonts w:ascii="宋体" w:hAnsi="宋体"/>
          <w:b/>
          <w:color w:val="auto"/>
          <w:sz w:val="24"/>
          <w:highlight w:val="none"/>
        </w:rPr>
        <w:fldChar w:fldCharType="end"/>
      </w:r>
    </w:p>
    <w:p>
      <w:pPr>
        <w:spacing w:line="400" w:lineRule="exact"/>
        <w:jc w:val="left"/>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p>
    <w:p>
      <w:pPr>
        <w:pStyle w:val="4"/>
        <w:numPr>
          <w:ilvl w:val="0"/>
          <w:numId w:val="7"/>
        </w:numPr>
        <w:jc w:val="center"/>
        <w:rPr>
          <w:color w:val="auto"/>
          <w:highlight w:val="none"/>
        </w:rPr>
      </w:pPr>
      <w:bookmarkStart w:id="0" w:name="_Toc393040184"/>
      <w:r>
        <w:rPr>
          <w:rFonts w:hint="eastAsia"/>
          <w:color w:val="auto"/>
          <w:highlight w:val="none"/>
        </w:rPr>
        <w:t>谈判采购公告</w:t>
      </w:r>
      <w:bookmarkEnd w:id="0"/>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广西东博会场馆运营有限公司球馆</w:t>
      </w:r>
      <w:r>
        <w:rPr>
          <w:rFonts w:hint="eastAsia" w:ascii="宋体" w:hAnsi="宋体"/>
          <w:color w:val="auto"/>
          <w:szCs w:val="21"/>
          <w:highlight w:val="none"/>
          <w:lang w:eastAsia="zh-CN"/>
        </w:rPr>
        <w:t>设施</w:t>
      </w:r>
      <w:r>
        <w:rPr>
          <w:rFonts w:hint="eastAsia" w:ascii="宋体" w:hAnsi="宋体"/>
          <w:color w:val="auto"/>
          <w:szCs w:val="21"/>
          <w:highlight w:val="none"/>
        </w:rPr>
        <w:t>搬</w:t>
      </w:r>
      <w:r>
        <w:rPr>
          <w:rFonts w:hint="eastAsia" w:ascii="宋体" w:hAnsi="宋体"/>
          <w:color w:val="auto"/>
          <w:szCs w:val="21"/>
          <w:highlight w:val="none"/>
          <w:lang w:eastAsia="zh-CN"/>
        </w:rPr>
        <w:t>运及</w:t>
      </w:r>
      <w:r>
        <w:rPr>
          <w:rFonts w:hint="eastAsia" w:ascii="宋体" w:hAnsi="宋体"/>
          <w:color w:val="auto"/>
          <w:szCs w:val="21"/>
          <w:highlight w:val="none"/>
        </w:rPr>
        <w:t>拆装服务采购项目采用谈判方式进行采购，现将有关事项公告如下：</w:t>
      </w:r>
    </w:p>
    <w:p>
      <w:pPr>
        <w:spacing w:line="400" w:lineRule="exact"/>
        <w:ind w:firstLine="413" w:firstLineChars="196"/>
        <w:rPr>
          <w:rFonts w:ascii="宋体" w:hAnsi="宋体"/>
          <w:color w:val="auto"/>
          <w:szCs w:val="21"/>
          <w:highlight w:val="none"/>
          <w:u w:val="single"/>
        </w:rPr>
      </w:pPr>
      <w:r>
        <w:rPr>
          <w:rFonts w:hint="eastAsia" w:ascii="宋体" w:hAnsi="宋体"/>
          <w:b/>
          <w:color w:val="auto"/>
          <w:szCs w:val="21"/>
          <w:highlight w:val="none"/>
        </w:rPr>
        <w:t>一、项目名称</w:t>
      </w:r>
      <w:r>
        <w:rPr>
          <w:rFonts w:hint="eastAsia" w:ascii="宋体" w:hAnsi="宋体"/>
          <w:color w:val="auto"/>
          <w:szCs w:val="21"/>
          <w:highlight w:val="none"/>
        </w:rPr>
        <w:t>：南宁国际会展中心球馆</w:t>
      </w:r>
      <w:r>
        <w:rPr>
          <w:rFonts w:hint="eastAsia" w:ascii="宋体" w:hAnsi="宋体"/>
          <w:color w:val="auto"/>
          <w:szCs w:val="21"/>
          <w:highlight w:val="none"/>
          <w:lang w:eastAsia="zh-CN"/>
        </w:rPr>
        <w:t>设施</w:t>
      </w:r>
      <w:r>
        <w:rPr>
          <w:rFonts w:hint="eastAsia" w:ascii="宋体" w:hAnsi="宋体"/>
          <w:color w:val="auto"/>
          <w:szCs w:val="21"/>
          <w:highlight w:val="none"/>
        </w:rPr>
        <w:t>搬</w:t>
      </w:r>
      <w:r>
        <w:rPr>
          <w:rFonts w:hint="eastAsia" w:ascii="宋体" w:hAnsi="宋体"/>
          <w:color w:val="auto"/>
          <w:szCs w:val="21"/>
          <w:highlight w:val="none"/>
          <w:lang w:eastAsia="zh-CN"/>
        </w:rPr>
        <w:t>运及</w:t>
      </w:r>
      <w:r>
        <w:rPr>
          <w:rFonts w:hint="eastAsia" w:ascii="宋体" w:hAnsi="宋体"/>
          <w:color w:val="auto"/>
          <w:szCs w:val="21"/>
          <w:highlight w:val="none"/>
        </w:rPr>
        <w:t>拆装服务采购</w:t>
      </w:r>
    </w:p>
    <w:p>
      <w:pPr>
        <w:spacing w:line="400" w:lineRule="exact"/>
        <w:ind w:firstLine="843" w:firstLineChars="400"/>
        <w:rPr>
          <w:rFonts w:ascii="宋体" w:hAnsi="宋体"/>
          <w:color w:val="auto"/>
          <w:szCs w:val="21"/>
          <w:highlight w:val="none"/>
          <w:u w:val="single"/>
        </w:rPr>
      </w:pPr>
      <w:r>
        <w:rPr>
          <w:rFonts w:hint="eastAsia" w:ascii="宋体" w:hAnsi="宋体"/>
          <w:b/>
          <w:color w:val="auto"/>
          <w:szCs w:val="21"/>
          <w:highlight w:val="none"/>
        </w:rPr>
        <w:t>项目编号</w:t>
      </w:r>
      <w:r>
        <w:rPr>
          <w:rFonts w:hint="eastAsia" w:ascii="宋体" w:hAnsi="宋体"/>
          <w:color w:val="auto"/>
          <w:szCs w:val="21"/>
          <w:highlight w:val="none"/>
        </w:rPr>
        <w:t>：</w:t>
      </w:r>
      <w:r>
        <w:rPr>
          <w:rFonts w:hint="default" w:ascii="Times New Roman" w:hAnsi="Times New Roman" w:eastAsia="微软雅黑" w:cs="Times New Roman"/>
          <w:i w:val="0"/>
          <w:caps w:val="0"/>
          <w:color w:val="111F2C"/>
          <w:spacing w:val="0"/>
          <w:sz w:val="21"/>
          <w:szCs w:val="21"/>
          <w:shd w:val="clear" w:color="auto" w:fill="FFFFFF"/>
        </w:rPr>
        <w:t>GIEG2020HZ</w:t>
      </w:r>
      <w:r>
        <w:rPr>
          <w:rFonts w:hint="eastAsia" w:eastAsia="微软雅黑" w:cs="Times New Roman"/>
          <w:i w:val="0"/>
          <w:caps w:val="0"/>
          <w:color w:val="111F2C"/>
          <w:spacing w:val="0"/>
          <w:sz w:val="21"/>
          <w:szCs w:val="21"/>
          <w:shd w:val="clear" w:color="auto" w:fill="FFFFFF"/>
          <w:lang w:eastAsia="zh-CN"/>
        </w:rPr>
        <w:t>－</w:t>
      </w:r>
      <w:r>
        <w:rPr>
          <w:rFonts w:hint="default" w:ascii="Times New Roman" w:hAnsi="Times New Roman" w:eastAsia="微软雅黑" w:cs="Times New Roman"/>
          <w:i w:val="0"/>
          <w:caps w:val="0"/>
          <w:color w:val="111F2C"/>
          <w:spacing w:val="0"/>
          <w:sz w:val="21"/>
          <w:szCs w:val="21"/>
          <w:shd w:val="clear" w:color="auto" w:fill="FFFFFF"/>
        </w:rPr>
        <w:t>0047</w:t>
      </w:r>
      <w:r>
        <w:rPr>
          <w:rFonts w:hint="eastAsia" w:ascii="宋体" w:hAnsi="宋体"/>
          <w:color w:val="auto"/>
          <w:sz w:val="21"/>
          <w:szCs w:val="21"/>
          <w:highlight w:val="none"/>
        </w:rPr>
        <w:t xml:space="preserve">  </w:t>
      </w:r>
      <w:r>
        <w:rPr>
          <w:rFonts w:hint="eastAsia" w:ascii="宋体" w:hAnsi="宋体"/>
          <w:color w:val="auto"/>
          <w:szCs w:val="21"/>
          <w:highlight w:val="none"/>
        </w:rPr>
        <w:t xml:space="preserve">          </w:t>
      </w:r>
    </w:p>
    <w:p>
      <w:pPr>
        <w:numPr>
          <w:ilvl w:val="0"/>
          <w:numId w:val="8"/>
        </w:numPr>
        <w:snapToGrid w:val="0"/>
        <w:spacing w:line="360" w:lineRule="exact"/>
        <w:ind w:firstLine="422" w:firstLineChars="200"/>
        <w:rPr>
          <w:rFonts w:ascii="宋体" w:hAnsi="宋体"/>
          <w:color w:val="auto"/>
          <w:szCs w:val="21"/>
          <w:highlight w:val="none"/>
        </w:rPr>
      </w:pPr>
      <w:r>
        <w:rPr>
          <w:rFonts w:hint="eastAsia" w:ascii="宋体" w:hAnsi="宋体" w:cs="Arial"/>
          <w:b/>
          <w:color w:val="auto"/>
          <w:szCs w:val="21"/>
          <w:highlight w:val="none"/>
        </w:rPr>
        <w:t>采购组织类型：</w:t>
      </w:r>
      <w:r>
        <w:rPr>
          <w:rFonts w:hint="eastAsia" w:ascii="宋体" w:hAnsi="宋体" w:cs="Arial"/>
          <w:color w:val="auto"/>
          <w:szCs w:val="21"/>
          <w:highlight w:val="none"/>
          <w:lang w:eastAsia="zh-CN"/>
        </w:rPr>
        <w:t>企业自行采购项目</w:t>
      </w:r>
    </w:p>
    <w:p>
      <w:pPr>
        <w:numPr>
          <w:ilvl w:val="0"/>
          <w:numId w:val="8"/>
        </w:numPr>
        <w:snapToGrid w:val="0"/>
        <w:spacing w:line="360" w:lineRule="exact"/>
        <w:ind w:firstLine="422" w:firstLineChars="200"/>
        <w:rPr>
          <w:rFonts w:ascii="宋体" w:hAnsi="宋体" w:cs="Arial"/>
          <w:color w:val="auto"/>
          <w:szCs w:val="21"/>
          <w:highlight w:val="none"/>
        </w:rPr>
      </w:pPr>
      <w:r>
        <w:rPr>
          <w:rFonts w:hint="eastAsia" w:ascii="宋体" w:hAnsi="宋体"/>
          <w:b/>
          <w:color w:val="auto"/>
          <w:szCs w:val="21"/>
          <w:highlight w:val="none"/>
        </w:rPr>
        <w:t>采购内容</w:t>
      </w:r>
      <w:r>
        <w:rPr>
          <w:rFonts w:hint="eastAsia" w:ascii="宋体" w:hAnsi="宋体"/>
          <w:color w:val="auto"/>
          <w:szCs w:val="21"/>
          <w:highlight w:val="none"/>
        </w:rPr>
        <w:t>：广西东博会场馆运营有限公司球馆</w:t>
      </w:r>
      <w:r>
        <w:rPr>
          <w:rFonts w:hint="eastAsia" w:ascii="宋体" w:hAnsi="宋体"/>
          <w:color w:val="auto"/>
          <w:szCs w:val="21"/>
          <w:highlight w:val="none"/>
          <w:lang w:eastAsia="zh-CN"/>
        </w:rPr>
        <w:t>设施</w:t>
      </w:r>
      <w:r>
        <w:rPr>
          <w:rFonts w:hint="eastAsia" w:ascii="宋体" w:hAnsi="宋体"/>
          <w:color w:val="auto"/>
          <w:szCs w:val="21"/>
          <w:highlight w:val="none"/>
        </w:rPr>
        <w:t>搬</w:t>
      </w:r>
      <w:r>
        <w:rPr>
          <w:rFonts w:hint="eastAsia" w:ascii="宋体" w:hAnsi="宋体"/>
          <w:color w:val="auto"/>
          <w:szCs w:val="21"/>
          <w:highlight w:val="none"/>
          <w:lang w:eastAsia="zh-CN"/>
        </w:rPr>
        <w:t>运及</w:t>
      </w:r>
      <w:r>
        <w:rPr>
          <w:rFonts w:hint="eastAsia" w:ascii="宋体" w:hAnsi="宋体"/>
          <w:color w:val="auto"/>
          <w:szCs w:val="21"/>
          <w:highlight w:val="none"/>
        </w:rPr>
        <w:t>拆装服务，项目预算（人民币）：</w:t>
      </w:r>
      <w:r>
        <w:rPr>
          <w:rFonts w:hint="eastAsia" w:ascii="宋体" w:hAnsi="宋体"/>
          <w:color w:val="auto"/>
          <w:szCs w:val="21"/>
          <w:highlight w:val="none"/>
          <w:lang w:val="en-US" w:eastAsia="zh-CN"/>
        </w:rPr>
        <w:t>7.5</w:t>
      </w:r>
      <w:r>
        <w:rPr>
          <w:rFonts w:hint="eastAsia" w:ascii="宋体" w:hAnsi="宋体"/>
          <w:color w:val="auto"/>
          <w:szCs w:val="21"/>
          <w:highlight w:val="none"/>
        </w:rPr>
        <w:t>万元整。</w:t>
      </w:r>
    </w:p>
    <w:p>
      <w:pPr>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四、供应商资格</w:t>
      </w:r>
      <w:r>
        <w:rPr>
          <w:rFonts w:hint="eastAsia" w:ascii="宋体" w:hAnsi="宋体"/>
          <w:color w:val="auto"/>
          <w:szCs w:val="21"/>
          <w:highlight w:val="none"/>
        </w:rPr>
        <w:t>：</w:t>
      </w:r>
    </w:p>
    <w:p>
      <w:pPr>
        <w:pageBreakBefore w:val="0"/>
        <w:widowControl w:val="0"/>
        <w:kinsoku/>
        <w:wordWrap/>
        <w:overflowPunct/>
        <w:topLinePunct w:val="0"/>
        <w:autoSpaceDE/>
        <w:autoSpaceDN/>
        <w:bidi w:val="0"/>
        <w:adjustRightInd/>
        <w:snapToGrid/>
        <w:spacing w:line="200" w:lineRule="atLeast"/>
        <w:ind w:firstLine="525" w:firstLineChars="250"/>
        <w:textAlignment w:val="auto"/>
        <w:rPr>
          <w:rFonts w:hint="eastAsia" w:ascii="宋体" w:hAnsi="宋体" w:cs="Arial"/>
          <w:color w:val="auto"/>
          <w:szCs w:val="21"/>
          <w:highlight w:val="none"/>
        </w:rPr>
      </w:pPr>
      <w:r>
        <w:rPr>
          <w:rFonts w:hint="eastAsia" w:ascii="宋体" w:hAnsi="宋体" w:cs="Arial"/>
          <w:color w:val="auto"/>
          <w:szCs w:val="21"/>
          <w:highlight w:val="none"/>
        </w:rPr>
        <w:t>1.国内注册（指按国家有关规定要求注册的），经营范围包含</w:t>
      </w:r>
      <w:r>
        <w:rPr>
          <w:rFonts w:hint="eastAsia" w:ascii="宋体" w:hAnsi="宋体" w:cs="Arial"/>
          <w:color w:val="auto"/>
          <w:szCs w:val="21"/>
          <w:highlight w:val="none"/>
          <w:lang w:eastAsia="zh-CN"/>
        </w:rPr>
        <w:t>装卸搬运</w:t>
      </w:r>
      <w:r>
        <w:rPr>
          <w:rFonts w:hint="eastAsia" w:ascii="宋体" w:hAnsi="宋体" w:cs="Arial"/>
          <w:color w:val="auto"/>
          <w:szCs w:val="21"/>
          <w:highlight w:val="none"/>
        </w:rPr>
        <w:t>采购服务</w:t>
      </w:r>
      <w:r>
        <w:rPr>
          <w:rFonts w:hint="eastAsia" w:ascii="宋体" w:hAnsi="宋体" w:cs="Arial"/>
          <w:color w:val="auto"/>
          <w:szCs w:val="21"/>
          <w:highlight w:val="none"/>
          <w:lang w:eastAsia="zh-CN"/>
        </w:rPr>
        <w:t>（对竞标单位的高空作业资格不做要求，但签订合同需提供高空作业人员高空作业资格证书）</w:t>
      </w:r>
    </w:p>
    <w:p>
      <w:pPr>
        <w:pageBreakBefore w:val="0"/>
        <w:widowControl w:val="0"/>
        <w:kinsoku/>
        <w:wordWrap/>
        <w:overflowPunct/>
        <w:topLinePunct w:val="0"/>
        <w:autoSpaceDE/>
        <w:autoSpaceDN/>
        <w:bidi w:val="0"/>
        <w:adjustRightInd/>
        <w:snapToGrid/>
        <w:spacing w:line="200" w:lineRule="atLeast"/>
        <w:ind w:firstLine="525" w:firstLineChars="250"/>
        <w:textAlignment w:val="auto"/>
        <w:rPr>
          <w:rFonts w:ascii="宋体" w:hAnsi="宋体" w:cs="Arial"/>
          <w:color w:val="auto"/>
          <w:szCs w:val="21"/>
          <w:highlight w:val="none"/>
        </w:rPr>
      </w:pPr>
      <w:r>
        <w:rPr>
          <w:rFonts w:hint="eastAsia" w:ascii="宋体" w:hAnsi="宋体" w:cs="Arial"/>
          <w:color w:val="auto"/>
          <w:szCs w:val="21"/>
          <w:highlight w:val="none"/>
          <w:lang w:val="en-US" w:eastAsia="zh-CN"/>
        </w:rPr>
        <w:t>2</w:t>
      </w:r>
      <w:r>
        <w:rPr>
          <w:rFonts w:hint="eastAsia" w:ascii="宋体" w:hAnsi="宋体" w:cs="Arial"/>
          <w:color w:val="auto"/>
          <w:szCs w:val="21"/>
          <w:highlight w:val="none"/>
        </w:rPr>
        <w:t>.本项目不接受联合体竞标。</w:t>
      </w:r>
    </w:p>
    <w:p>
      <w:pPr>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五、竞标保证金</w:t>
      </w:r>
      <w:r>
        <w:rPr>
          <w:rFonts w:hint="eastAsia" w:ascii="宋体" w:hAnsi="宋体"/>
          <w:color w:val="auto"/>
          <w:szCs w:val="21"/>
          <w:highlight w:val="none"/>
        </w:rPr>
        <w:t>：无</w:t>
      </w:r>
    </w:p>
    <w:p>
      <w:pPr>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六、竞争性谈判文件获取的时间和地点</w:t>
      </w:r>
      <w:r>
        <w:rPr>
          <w:rFonts w:hint="eastAsia" w:ascii="宋体" w:hAnsi="宋体"/>
          <w:color w:val="auto"/>
          <w:szCs w:val="21"/>
          <w:highlight w:val="none"/>
        </w:rPr>
        <w:t>：</w:t>
      </w:r>
    </w:p>
    <w:p>
      <w:pPr>
        <w:spacing w:line="400" w:lineRule="exact"/>
        <w:ind w:firstLine="495"/>
        <w:rPr>
          <w:rFonts w:ascii="宋体" w:hAnsi="宋体"/>
          <w:color w:val="auto"/>
          <w:szCs w:val="21"/>
          <w:highlight w:val="none"/>
          <w:u w:val="single"/>
        </w:rPr>
      </w:pPr>
      <w:r>
        <w:rPr>
          <w:rFonts w:hint="eastAsia" w:ascii="宋体" w:hAnsi="宋体"/>
          <w:color w:val="auto"/>
          <w:szCs w:val="21"/>
          <w:highlight w:val="none"/>
        </w:rPr>
        <w:t>1.</w:t>
      </w:r>
      <w:r>
        <w:rPr>
          <w:rFonts w:hint="eastAsia" w:ascii="宋体" w:hAnsi="宋体"/>
          <w:bCs/>
          <w:color w:val="auto"/>
          <w:szCs w:val="21"/>
          <w:highlight w:val="none"/>
        </w:rPr>
        <w:t>竞争性谈判</w:t>
      </w:r>
      <w:r>
        <w:rPr>
          <w:rFonts w:hint="eastAsia" w:ascii="宋体" w:hAnsi="宋体"/>
          <w:color w:val="auto"/>
          <w:szCs w:val="21"/>
          <w:highlight w:val="none"/>
        </w:rPr>
        <w:t>文件获取时间：</w:t>
      </w:r>
      <w:r>
        <w:rPr>
          <w:rFonts w:hint="eastAsia" w:ascii="宋体" w:hAnsi="宋体"/>
          <w:color w:val="auto"/>
          <w:szCs w:val="21"/>
          <w:highlight w:val="none"/>
          <w:u w:val="single"/>
        </w:rPr>
        <w:t>2020年</w:t>
      </w:r>
      <w:r>
        <w:rPr>
          <w:rFonts w:hint="default" w:ascii="宋体" w:hAnsi="宋体"/>
          <w:color w:val="auto"/>
          <w:szCs w:val="21"/>
          <w:highlight w:val="none"/>
          <w:u w:val="single"/>
        </w:rPr>
        <w:t>5</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 xml:space="preserve"> 26 </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8</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分至2020年</w:t>
      </w:r>
      <w:r>
        <w:rPr>
          <w:rFonts w:hint="default" w:ascii="宋体" w:hAnsi="宋体"/>
          <w:color w:val="auto"/>
          <w:szCs w:val="21"/>
          <w:highlight w:val="none"/>
          <w:u w:val="single"/>
        </w:rPr>
        <w:t>5</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28</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18</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分</w:t>
      </w:r>
    </w:p>
    <w:p>
      <w:pPr>
        <w:spacing w:line="400" w:lineRule="exact"/>
        <w:ind w:firstLine="495"/>
        <w:rPr>
          <w:rFonts w:ascii="宋体" w:hAnsi="宋体"/>
          <w:color w:val="auto"/>
          <w:szCs w:val="21"/>
          <w:highlight w:val="none"/>
          <w:u w:val="single"/>
        </w:rPr>
      </w:pPr>
      <w:r>
        <w:rPr>
          <w:rFonts w:hint="eastAsia" w:ascii="宋体" w:hAnsi="宋体"/>
          <w:color w:val="auto"/>
          <w:szCs w:val="21"/>
          <w:highlight w:val="none"/>
        </w:rPr>
        <w:t>2.</w:t>
      </w:r>
      <w:r>
        <w:rPr>
          <w:rFonts w:hint="eastAsia" w:ascii="宋体" w:hAnsi="宋体"/>
          <w:bCs/>
          <w:color w:val="auto"/>
          <w:szCs w:val="21"/>
          <w:highlight w:val="none"/>
        </w:rPr>
        <w:t>竞争性谈判</w:t>
      </w:r>
      <w:r>
        <w:rPr>
          <w:rFonts w:hint="eastAsia" w:ascii="宋体" w:hAnsi="宋体"/>
          <w:color w:val="auto"/>
          <w:szCs w:val="21"/>
          <w:highlight w:val="none"/>
        </w:rPr>
        <w:t>文件获取地点：广西东博会场馆运营有限公司（</w:t>
      </w:r>
      <w:r>
        <w:rPr>
          <w:rFonts w:hint="eastAsia" w:ascii="宋体" w:hAnsi="宋体" w:cs="宋体"/>
          <w:color w:val="auto"/>
          <w:szCs w:val="21"/>
          <w:highlight w:val="none"/>
          <w:u w:val="single"/>
        </w:rPr>
        <w:t>南宁市民族大道延长线106号C区行政北楼219号办公室</w:t>
      </w:r>
      <w:r>
        <w:rPr>
          <w:rFonts w:hint="eastAsia" w:ascii="宋体" w:hAnsi="宋体"/>
          <w:color w:val="auto"/>
          <w:szCs w:val="21"/>
          <w:highlight w:val="none"/>
        </w:rPr>
        <w:t>）或通过电子邮件发送。</w:t>
      </w:r>
    </w:p>
    <w:p>
      <w:pPr>
        <w:spacing w:line="400" w:lineRule="exact"/>
        <w:ind w:firstLine="422" w:firstLineChars="200"/>
        <w:rPr>
          <w:rFonts w:ascii="宋体" w:hAnsi="宋体"/>
          <w:color w:val="auto"/>
          <w:szCs w:val="21"/>
          <w:highlight w:val="none"/>
        </w:rPr>
      </w:pPr>
      <w:r>
        <w:rPr>
          <w:rFonts w:hint="eastAsia" w:ascii="宋体" w:hAnsi="宋体"/>
          <w:b/>
          <w:bCs/>
          <w:color w:val="auto"/>
          <w:szCs w:val="21"/>
          <w:highlight w:val="none"/>
        </w:rPr>
        <w:t>七、</w:t>
      </w:r>
      <w:r>
        <w:rPr>
          <w:rFonts w:hint="eastAsia" w:ascii="宋体" w:hAnsi="宋体"/>
          <w:b/>
          <w:color w:val="auto"/>
          <w:szCs w:val="21"/>
          <w:highlight w:val="none"/>
          <w:lang w:eastAsia="zh-CN"/>
        </w:rPr>
        <w:t>响应</w:t>
      </w:r>
      <w:r>
        <w:rPr>
          <w:rFonts w:hint="eastAsia" w:ascii="宋体" w:hAnsi="宋体"/>
          <w:b/>
          <w:color w:val="auto"/>
          <w:szCs w:val="21"/>
          <w:highlight w:val="none"/>
        </w:rPr>
        <w:t>文件递交时间和地点</w:t>
      </w:r>
      <w:r>
        <w:rPr>
          <w:rFonts w:hint="eastAsia" w:ascii="宋体" w:hAnsi="宋体"/>
          <w:color w:val="auto"/>
          <w:szCs w:val="21"/>
          <w:highlight w:val="none"/>
        </w:rPr>
        <w:t>：</w:t>
      </w:r>
    </w:p>
    <w:p>
      <w:pPr>
        <w:spacing w:line="400" w:lineRule="exact"/>
        <w:ind w:firstLine="495"/>
        <w:rPr>
          <w:rFonts w:hint="eastAsia" w:ascii="宋体" w:hAnsi="宋体" w:eastAsia="宋体"/>
          <w:color w:val="auto"/>
          <w:szCs w:val="21"/>
          <w:highlight w:val="none"/>
          <w:u w:val="single"/>
          <w:lang w:eastAsia="zh-CN"/>
        </w:rPr>
      </w:pPr>
      <w:r>
        <w:rPr>
          <w:rFonts w:hint="eastAsia" w:ascii="宋体" w:hAnsi="宋体"/>
          <w:color w:val="auto"/>
          <w:szCs w:val="21"/>
          <w:highlight w:val="none"/>
        </w:rPr>
        <w:t>1.</w:t>
      </w:r>
      <w:r>
        <w:rPr>
          <w:rFonts w:hint="eastAsia" w:ascii="宋体" w:hAnsi="宋体"/>
          <w:bCs/>
          <w:color w:val="auto"/>
          <w:szCs w:val="21"/>
          <w:highlight w:val="none"/>
          <w:lang w:eastAsia="zh-CN"/>
        </w:rPr>
        <w:t>响应</w:t>
      </w:r>
      <w:r>
        <w:rPr>
          <w:rFonts w:hint="eastAsia" w:ascii="宋体" w:hAnsi="宋体"/>
          <w:color w:val="auto"/>
          <w:szCs w:val="21"/>
          <w:highlight w:val="none"/>
        </w:rPr>
        <w:t>文件接收时间：</w:t>
      </w:r>
      <w:r>
        <w:rPr>
          <w:rFonts w:hint="eastAsia" w:ascii="宋体" w:hAnsi="宋体"/>
          <w:color w:val="auto"/>
          <w:szCs w:val="21"/>
          <w:highlight w:val="none"/>
          <w:u w:val="single"/>
        </w:rPr>
        <w:t>2020年</w:t>
      </w:r>
      <w:r>
        <w:rPr>
          <w:rFonts w:hint="default" w:ascii="宋体" w:hAnsi="宋体"/>
          <w:color w:val="auto"/>
          <w:szCs w:val="21"/>
          <w:highlight w:val="none"/>
          <w:u w:val="single"/>
        </w:rPr>
        <w:t>5</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 xml:space="preserve"> 29 </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10</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分</w:t>
      </w:r>
      <w:r>
        <w:rPr>
          <w:rFonts w:hint="eastAsia" w:ascii="宋体" w:hAnsi="宋体"/>
          <w:color w:val="auto"/>
          <w:szCs w:val="21"/>
          <w:highlight w:val="none"/>
          <w:u w:val="single"/>
          <w:lang w:eastAsia="zh-CN"/>
        </w:rPr>
        <w:t>前</w:t>
      </w:r>
    </w:p>
    <w:p>
      <w:pPr>
        <w:spacing w:line="400" w:lineRule="exact"/>
        <w:ind w:firstLine="495"/>
        <w:rPr>
          <w:rFonts w:ascii="宋体" w:hAnsi="宋体"/>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lang w:eastAsia="zh-CN"/>
        </w:rPr>
        <w:t>响应</w:t>
      </w:r>
      <w:r>
        <w:rPr>
          <w:rFonts w:hint="eastAsia" w:ascii="宋体" w:hAnsi="宋体"/>
          <w:color w:val="auto"/>
          <w:szCs w:val="21"/>
          <w:highlight w:val="none"/>
        </w:rPr>
        <w:t>文件递交地点：广西东博会场馆运营有限公司（</w:t>
      </w:r>
      <w:r>
        <w:rPr>
          <w:rFonts w:hint="eastAsia" w:ascii="宋体" w:hAnsi="宋体" w:cs="宋体"/>
          <w:color w:val="auto"/>
          <w:szCs w:val="21"/>
          <w:highlight w:val="none"/>
          <w:u w:val="single"/>
        </w:rPr>
        <w:t>南宁市民族大道延长线106号C区行政北楼219号办公室</w:t>
      </w:r>
      <w:r>
        <w:rPr>
          <w:rFonts w:hint="eastAsia" w:ascii="宋体" w:hAnsi="宋体"/>
          <w:color w:val="auto"/>
          <w:szCs w:val="21"/>
          <w:highlight w:val="none"/>
        </w:rPr>
        <w:t>）。</w:t>
      </w:r>
    </w:p>
    <w:p>
      <w:pPr>
        <w:spacing w:line="400" w:lineRule="exact"/>
        <w:ind w:firstLine="495"/>
        <w:rPr>
          <w:rFonts w:ascii="宋体" w:hAnsi="宋体"/>
          <w:color w:val="auto"/>
          <w:szCs w:val="21"/>
          <w:highlight w:val="none"/>
        </w:rPr>
      </w:pPr>
      <w:r>
        <w:rPr>
          <w:rFonts w:hint="eastAsia" w:ascii="宋体" w:hAnsi="宋体"/>
          <w:b/>
          <w:color w:val="auto"/>
          <w:szCs w:val="21"/>
          <w:highlight w:val="none"/>
        </w:rPr>
        <w:t>八、响应文件开启时间、谈判时间及地点</w:t>
      </w:r>
      <w:r>
        <w:rPr>
          <w:rFonts w:hint="eastAsia" w:ascii="宋体" w:hAnsi="宋体"/>
          <w:color w:val="auto"/>
          <w:szCs w:val="21"/>
          <w:highlight w:val="none"/>
        </w:rPr>
        <w:t>：</w:t>
      </w:r>
    </w:p>
    <w:p>
      <w:pPr>
        <w:spacing w:line="400" w:lineRule="exact"/>
        <w:ind w:firstLine="495"/>
        <w:rPr>
          <w:rFonts w:ascii="宋体" w:hAnsi="宋体"/>
          <w:color w:val="auto"/>
          <w:szCs w:val="21"/>
          <w:highlight w:val="none"/>
        </w:rPr>
      </w:pPr>
      <w:r>
        <w:rPr>
          <w:rFonts w:hint="eastAsia" w:ascii="宋体" w:hAnsi="宋体"/>
          <w:color w:val="auto"/>
          <w:szCs w:val="21"/>
          <w:highlight w:val="none"/>
          <w:u w:val="single"/>
        </w:rPr>
        <w:t>2020年</w:t>
      </w:r>
      <w:r>
        <w:rPr>
          <w:rFonts w:hint="default" w:ascii="宋体" w:hAnsi="宋体"/>
          <w:color w:val="auto"/>
          <w:szCs w:val="21"/>
          <w:highlight w:val="none"/>
          <w:u w:val="single"/>
        </w:rPr>
        <w:t>5</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 xml:space="preserve"> 29 </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15</w:t>
      </w:r>
      <w:r>
        <w:rPr>
          <w:rFonts w:hint="eastAsia" w:ascii="宋体" w:hAnsi="宋体"/>
          <w:color w:val="auto"/>
          <w:szCs w:val="21"/>
          <w:highlight w:val="none"/>
          <w:u w:val="single"/>
          <w:lang w:eastAsia="zh-CN"/>
        </w:rPr>
        <w:t>　</w:t>
      </w:r>
      <w:r>
        <w:rPr>
          <w:rFonts w:hint="eastAsia" w:ascii="宋体" w:hAnsi="宋体"/>
          <w:color w:val="auto"/>
          <w:szCs w:val="21"/>
          <w:highlight w:val="none"/>
          <w:u w:val="single"/>
        </w:rPr>
        <w:t>时</w:t>
      </w:r>
      <w:r>
        <w:rPr>
          <w:rFonts w:hint="default" w:ascii="宋体" w:hAnsi="宋体"/>
          <w:color w:val="auto"/>
          <w:szCs w:val="21"/>
          <w:highlight w:val="none"/>
          <w:u w:val="single"/>
        </w:rPr>
        <w:t xml:space="preserve"> </w:t>
      </w:r>
      <w:r>
        <w:rPr>
          <w:rFonts w:hint="eastAsia" w:ascii="宋体" w:hAnsi="宋体"/>
          <w:color w:val="auto"/>
          <w:szCs w:val="21"/>
          <w:highlight w:val="none"/>
          <w:u w:val="single"/>
          <w:lang w:val="en-US" w:eastAsia="zh-CN"/>
        </w:rPr>
        <w:t>30</w:t>
      </w:r>
      <w:r>
        <w:rPr>
          <w:rFonts w:hint="default" w:ascii="宋体" w:hAnsi="宋体"/>
          <w:color w:val="auto"/>
          <w:szCs w:val="21"/>
          <w:highlight w:val="none"/>
          <w:u w:val="single"/>
        </w:rPr>
        <w:t xml:space="preserve"> </w:t>
      </w:r>
      <w:r>
        <w:rPr>
          <w:rFonts w:hint="eastAsia" w:ascii="宋体" w:hAnsi="宋体"/>
          <w:color w:val="auto"/>
          <w:szCs w:val="21"/>
          <w:highlight w:val="none"/>
          <w:u w:val="single"/>
        </w:rPr>
        <w:t>分</w:t>
      </w:r>
      <w:r>
        <w:rPr>
          <w:rFonts w:hint="eastAsia" w:ascii="宋体" w:hAnsi="宋体"/>
          <w:color w:val="auto"/>
          <w:szCs w:val="21"/>
          <w:highlight w:val="none"/>
        </w:rPr>
        <w:t>后为开启响应文件及与供应商谈判时间，具体时间另行通知。地点：广西东博会场馆运营有限公司（</w:t>
      </w:r>
      <w:r>
        <w:rPr>
          <w:rFonts w:hint="eastAsia" w:ascii="宋体" w:hAnsi="宋体" w:cs="宋体"/>
          <w:color w:val="auto"/>
          <w:szCs w:val="21"/>
          <w:highlight w:val="none"/>
          <w:u w:val="single"/>
        </w:rPr>
        <w:t>南宁市民族大道延长线106号C区行政北楼221号</w:t>
      </w:r>
      <w:r>
        <w:rPr>
          <w:rFonts w:hint="eastAsia" w:ascii="宋体" w:hAnsi="宋体" w:cs="宋体"/>
          <w:color w:val="auto"/>
          <w:szCs w:val="21"/>
          <w:highlight w:val="none"/>
          <w:u w:val="single"/>
          <w:lang w:eastAsia="zh-CN"/>
        </w:rPr>
        <w:t>会议室</w:t>
      </w:r>
      <w:r>
        <w:rPr>
          <w:rFonts w:hint="eastAsia" w:ascii="宋体" w:hAnsi="宋体"/>
          <w:color w:val="auto"/>
          <w:szCs w:val="21"/>
          <w:highlight w:val="none"/>
        </w:rPr>
        <w:t>），参加竞标的法定代表人或委托代理人必须持证件（法定代表人凭资格证书和身份证或委托代理人凭法人授权委托书原件和身份证）依时到达指定地点等候当面谈判。</w:t>
      </w:r>
    </w:p>
    <w:p>
      <w:pPr>
        <w:snapToGrid w:val="0"/>
        <w:spacing w:line="360" w:lineRule="exact"/>
        <w:ind w:firstLine="420"/>
        <w:rPr>
          <w:rFonts w:ascii="宋体" w:hAnsi="宋体" w:cs="Arial"/>
          <w:b/>
          <w:color w:val="auto"/>
          <w:szCs w:val="21"/>
          <w:highlight w:val="none"/>
        </w:rPr>
      </w:pPr>
      <w:r>
        <w:rPr>
          <w:rFonts w:hint="eastAsia" w:ascii="宋体" w:hAnsi="宋体"/>
          <w:b/>
          <w:color w:val="auto"/>
          <w:szCs w:val="21"/>
          <w:highlight w:val="none"/>
        </w:rPr>
        <w:t>九、</w:t>
      </w:r>
      <w:r>
        <w:rPr>
          <w:rFonts w:hint="eastAsia" w:ascii="宋体" w:hAnsi="宋体" w:cs="Arial"/>
          <w:b/>
          <w:color w:val="auto"/>
          <w:szCs w:val="21"/>
          <w:highlight w:val="none"/>
        </w:rPr>
        <w:t>业务咨询：</w:t>
      </w:r>
    </w:p>
    <w:p>
      <w:pPr>
        <w:snapToGrid w:val="0"/>
        <w:spacing w:line="36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1.广西东博会场馆运营有限公司</w:t>
      </w:r>
    </w:p>
    <w:p>
      <w:pPr>
        <w:snapToGrid w:val="0"/>
        <w:spacing w:line="36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联系人：</w:t>
      </w:r>
      <w:r>
        <w:rPr>
          <w:rFonts w:hint="eastAsia" w:ascii="宋体" w:hAnsi="宋体" w:cs="Arial"/>
          <w:color w:val="auto"/>
          <w:szCs w:val="21"/>
          <w:highlight w:val="none"/>
          <w:lang w:eastAsia="zh-CN"/>
        </w:rPr>
        <w:t>庞东牌</w:t>
      </w:r>
      <w:r>
        <w:rPr>
          <w:rFonts w:hint="eastAsia" w:ascii="宋体" w:hAnsi="宋体"/>
          <w:color w:val="auto"/>
          <w:highlight w:val="none"/>
          <w:shd w:val="clear" w:color="auto" w:fill="FFFFFF"/>
          <w:lang w:val="en-US" w:eastAsia="zh-CN"/>
        </w:rPr>
        <w:t xml:space="preserve"> </w:t>
      </w:r>
      <w:r>
        <w:rPr>
          <w:rFonts w:hint="eastAsia" w:ascii="宋体" w:hAnsi="宋体"/>
          <w:color w:val="auto"/>
          <w:highlight w:val="none"/>
          <w:shd w:val="clear" w:color="auto" w:fill="FFFFFF"/>
        </w:rPr>
        <w:t>联系电话：</w:t>
      </w:r>
      <w:r>
        <w:rPr>
          <w:rFonts w:hint="eastAsia" w:ascii="宋体" w:hAnsi="宋体"/>
          <w:color w:val="auto"/>
          <w:highlight w:val="none"/>
          <w:shd w:val="clear" w:color="auto" w:fill="FFFFFF"/>
          <w:lang w:val="en-US" w:eastAsia="zh-CN"/>
        </w:rPr>
        <w:t xml:space="preserve">0771-2092152 </w:t>
      </w:r>
      <w:r>
        <w:rPr>
          <w:rFonts w:hint="eastAsia" w:ascii="宋体" w:hAnsi="宋体" w:cs="Arial"/>
          <w:color w:val="auto"/>
          <w:szCs w:val="21"/>
          <w:highlight w:val="none"/>
        </w:rPr>
        <w:t>地址：</w:t>
      </w:r>
      <w:r>
        <w:rPr>
          <w:rFonts w:hint="eastAsia" w:ascii="宋体" w:hAnsi="宋体" w:cs="宋体"/>
          <w:color w:val="auto"/>
          <w:szCs w:val="21"/>
          <w:highlight w:val="none"/>
          <w:u w:val="single"/>
        </w:rPr>
        <w:t>南宁市民族大道延长线106号C区行政北楼219号办公室</w:t>
      </w:r>
      <w:r>
        <w:rPr>
          <w:rFonts w:hint="eastAsia" w:ascii="宋体" w:hAnsi="宋体" w:cs="Arial"/>
          <w:color w:val="auto"/>
          <w:szCs w:val="21"/>
          <w:highlight w:val="none"/>
        </w:rPr>
        <w:t>/邮编：530000</w:t>
      </w:r>
    </w:p>
    <w:p>
      <w:pPr>
        <w:numPr>
          <w:ilvl w:val="0"/>
          <w:numId w:val="9"/>
        </w:numPr>
        <w:snapToGrid w:val="0"/>
        <w:spacing w:line="600" w:lineRule="exact"/>
        <w:ind w:firstLine="422" w:firstLineChars="200"/>
        <w:rPr>
          <w:rFonts w:hint="eastAsia" w:ascii="宋体" w:hAnsi="宋体" w:eastAsia="宋体" w:cs="宋体"/>
          <w:b/>
          <w:bCs/>
          <w:color w:val="auto"/>
          <w:sz w:val="21"/>
          <w:szCs w:val="21"/>
          <w:highlight w:val="none"/>
          <w:shd w:val="clear" w:color="auto" w:fill="FFFFFF"/>
          <w:lang w:eastAsia="zh-CN"/>
        </w:rPr>
      </w:pPr>
      <w:r>
        <w:rPr>
          <w:rFonts w:hint="eastAsia" w:ascii="宋体" w:hAnsi="宋体" w:eastAsia="宋体" w:cs="宋体"/>
          <w:b/>
          <w:bCs/>
          <w:color w:val="auto"/>
          <w:sz w:val="21"/>
          <w:szCs w:val="21"/>
          <w:highlight w:val="none"/>
          <w:shd w:val="clear" w:color="auto" w:fill="FFFFFF"/>
          <w:lang w:eastAsia="zh-CN"/>
        </w:rPr>
        <w:t>监督与投诉：</w:t>
      </w:r>
    </w:p>
    <w:p>
      <w:pPr>
        <w:numPr>
          <w:ilvl w:val="0"/>
          <w:numId w:val="0"/>
        </w:numPr>
        <w:snapToGrid w:val="0"/>
        <w:spacing w:line="600" w:lineRule="exact"/>
        <w:ind w:firstLine="420" w:firstLineChars="200"/>
        <w:rPr>
          <w:rFonts w:hint="eastAsia" w:ascii="宋体" w:hAnsi="宋体" w:eastAsia="宋体" w:cs="宋体"/>
          <w:b/>
          <w:bCs/>
          <w:color w:val="auto"/>
          <w:sz w:val="21"/>
          <w:szCs w:val="21"/>
          <w:highlight w:val="none"/>
          <w:shd w:val="clear" w:color="auto" w:fill="FFFFFF"/>
          <w:lang w:eastAsia="zh-CN"/>
        </w:rPr>
      </w:pPr>
      <w:r>
        <w:rPr>
          <w:rFonts w:hint="eastAsia" w:ascii="宋体" w:hAnsi="宋体" w:cs="Arial"/>
          <w:color w:val="auto"/>
          <w:szCs w:val="21"/>
          <w:highlight w:val="none"/>
          <w:lang w:val="en-US" w:eastAsia="zh-CN"/>
        </w:rPr>
        <w:t>1.</w:t>
      </w:r>
      <w:r>
        <w:rPr>
          <w:rFonts w:hint="eastAsia" w:ascii="宋体" w:hAnsi="宋体" w:cs="Arial"/>
          <w:color w:val="auto"/>
          <w:szCs w:val="21"/>
          <w:highlight w:val="none"/>
        </w:rPr>
        <w:t>广西国际博览集团有限公司</w:t>
      </w:r>
      <w:r>
        <w:rPr>
          <w:rFonts w:hint="eastAsia" w:ascii="宋体" w:hAnsi="宋体" w:cs="Arial"/>
          <w:color w:val="auto"/>
          <w:szCs w:val="21"/>
          <w:highlight w:val="none"/>
          <w:lang w:eastAsia="zh-CN"/>
        </w:rPr>
        <w:t>经营管理部</w:t>
      </w:r>
    </w:p>
    <w:p>
      <w:pPr>
        <w:snapToGrid w:val="0"/>
        <w:spacing w:line="600" w:lineRule="exact"/>
        <w:ind w:firstLine="420" w:firstLineChars="200"/>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rPr>
        <w:t xml:space="preserve">联系人：   </w:t>
      </w:r>
      <w:r>
        <w:rPr>
          <w:rFonts w:hint="eastAsia" w:ascii="宋体" w:hAnsi="宋体" w:eastAsia="宋体" w:cs="宋体"/>
          <w:color w:val="auto"/>
          <w:sz w:val="21"/>
          <w:szCs w:val="21"/>
          <w:highlight w:val="none"/>
          <w:lang w:eastAsia="zh-CN"/>
        </w:rPr>
        <w:t>顾明</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shd w:val="clear" w:color="auto" w:fill="FFFFFF"/>
        </w:rPr>
        <w:t xml:space="preserve">   </w:t>
      </w:r>
      <w:r>
        <w:rPr>
          <w:rFonts w:hint="eastAsia" w:ascii="宋体" w:hAnsi="宋体" w:eastAsia="宋体"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rPr>
        <w:t xml:space="preserve"> 联系电话：</w:t>
      </w:r>
      <w:r>
        <w:rPr>
          <w:rFonts w:hint="eastAsia" w:ascii="宋体" w:hAnsi="宋体" w:eastAsia="宋体" w:cs="宋体"/>
          <w:color w:val="auto"/>
          <w:sz w:val="21"/>
          <w:szCs w:val="21"/>
          <w:highlight w:val="none"/>
          <w:shd w:val="clear" w:color="auto" w:fill="FFFFFF"/>
          <w:lang w:val="en-US" w:eastAsia="zh-CN"/>
        </w:rPr>
        <w:t>0771-2212614</w:t>
      </w:r>
    </w:p>
    <w:p>
      <w:pPr>
        <w:snapToGrid w:val="0"/>
        <w:spacing w:line="600" w:lineRule="exact"/>
        <w:ind w:firstLine="420" w:firstLineChars="200"/>
        <w:rPr>
          <w:rFonts w:hint="eastAsia" w:ascii="宋体" w:hAnsi="宋体" w:cs="Arial"/>
          <w:color w:val="auto"/>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南宁市</w:t>
      </w:r>
      <w:r>
        <w:rPr>
          <w:rFonts w:hint="eastAsia" w:ascii="宋体" w:hAnsi="宋体" w:eastAsia="宋体" w:cs="宋体"/>
          <w:color w:val="auto"/>
          <w:sz w:val="21"/>
          <w:szCs w:val="21"/>
          <w:highlight w:val="none"/>
          <w:u w:val="single"/>
          <w:lang w:eastAsia="zh-CN"/>
        </w:rPr>
        <w:t>会展路</w:t>
      </w:r>
      <w:r>
        <w:rPr>
          <w:rFonts w:hint="eastAsia" w:ascii="宋体" w:hAnsi="宋体" w:eastAsia="宋体" w:cs="宋体"/>
          <w:color w:val="auto"/>
          <w:sz w:val="21"/>
          <w:szCs w:val="21"/>
          <w:highlight w:val="none"/>
          <w:u w:val="single"/>
          <w:lang w:val="en-US" w:eastAsia="zh-CN"/>
        </w:rPr>
        <w:t>18号会展大厦12楼</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/邮编：530000</w:t>
      </w:r>
    </w:p>
    <w:p>
      <w:pPr>
        <w:snapToGrid w:val="0"/>
        <w:spacing w:line="360" w:lineRule="exact"/>
        <w:ind w:firstLine="422" w:firstLineChars="200"/>
        <w:rPr>
          <w:rFonts w:ascii="宋体" w:hAnsi="宋体" w:cs="Arial"/>
          <w:color w:val="auto"/>
          <w:szCs w:val="21"/>
          <w:highlight w:val="none"/>
          <w:u w:val="single"/>
        </w:rPr>
      </w:pPr>
      <w:r>
        <w:rPr>
          <w:rFonts w:hint="eastAsia" w:ascii="宋体" w:hAnsi="宋体"/>
          <w:b/>
          <w:color w:val="auto"/>
          <w:szCs w:val="21"/>
          <w:highlight w:val="none"/>
        </w:rPr>
        <w:t>十</w:t>
      </w:r>
      <w:r>
        <w:rPr>
          <w:rFonts w:hint="eastAsia" w:ascii="宋体" w:hAnsi="宋体"/>
          <w:b/>
          <w:color w:val="auto"/>
          <w:szCs w:val="21"/>
          <w:highlight w:val="none"/>
          <w:lang w:eastAsia="zh-CN"/>
        </w:rPr>
        <w:t>一</w:t>
      </w:r>
      <w:r>
        <w:rPr>
          <w:rFonts w:hint="eastAsia" w:ascii="宋体" w:hAnsi="宋体"/>
          <w:b/>
          <w:color w:val="auto"/>
          <w:szCs w:val="21"/>
          <w:highlight w:val="none"/>
        </w:rPr>
        <w:t>、网上公告媒体查询</w:t>
      </w:r>
      <w:r>
        <w:rPr>
          <w:rFonts w:hint="eastAsia" w:ascii="宋体" w:hAnsi="宋体"/>
          <w:color w:val="auto"/>
          <w:szCs w:val="21"/>
          <w:highlight w:val="none"/>
        </w:rPr>
        <w:t>：</w:t>
      </w:r>
    </w:p>
    <w:p>
      <w:pPr>
        <w:snapToGrid w:val="0"/>
        <w:spacing w:line="36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广西国际博览集团有限公司官方网站（http://www.gxexpogp.cn）</w:t>
      </w:r>
    </w:p>
    <w:p>
      <w:pPr>
        <w:snapToGrid w:val="0"/>
        <w:spacing w:line="360" w:lineRule="exact"/>
        <w:ind w:firstLine="420" w:firstLineChars="200"/>
        <w:rPr>
          <w:rFonts w:hint="eastAsia" w:ascii="宋体" w:hAnsi="宋体" w:eastAsia="宋体" w:cs="Arial"/>
          <w:color w:val="auto"/>
          <w:szCs w:val="21"/>
          <w:highlight w:val="none"/>
          <w:lang w:eastAsia="zh-CN"/>
        </w:rPr>
      </w:pPr>
      <w:r>
        <w:rPr>
          <w:rFonts w:hint="eastAsia" w:ascii="宋体" w:hAnsi="宋体" w:cs="Arial"/>
          <w:color w:val="auto"/>
          <w:szCs w:val="21"/>
          <w:highlight w:val="none"/>
          <w:lang w:eastAsia="zh-CN"/>
        </w:rPr>
        <w:t>广西东博会场馆运营有限公司（</w:t>
      </w:r>
      <w:r>
        <w:rPr>
          <w:rFonts w:hint="eastAsia" w:ascii="宋体" w:hAnsi="宋体" w:cs="Arial"/>
          <w:color w:val="auto"/>
          <w:szCs w:val="21"/>
          <w:highlight w:val="none"/>
          <w:lang w:val="en-US" w:eastAsia="zh-CN"/>
        </w:rPr>
        <w:t>http：//www.nicec.cn</w:t>
      </w:r>
      <w:r>
        <w:rPr>
          <w:rFonts w:hint="eastAsia" w:ascii="宋体" w:hAnsi="宋体" w:cs="Arial"/>
          <w:color w:val="auto"/>
          <w:szCs w:val="21"/>
          <w:highlight w:val="none"/>
          <w:lang w:eastAsia="zh-CN"/>
        </w:rPr>
        <w:t>）</w:t>
      </w:r>
    </w:p>
    <w:p>
      <w:pPr>
        <w:snapToGrid w:val="0"/>
        <w:spacing w:line="400" w:lineRule="exact"/>
        <w:rPr>
          <w:rFonts w:ascii="宋体" w:hAnsi="宋体"/>
          <w:color w:val="auto"/>
          <w:szCs w:val="21"/>
          <w:highlight w:val="none"/>
        </w:rPr>
      </w:pPr>
    </w:p>
    <w:p>
      <w:pPr>
        <w:snapToGrid w:val="0"/>
        <w:spacing w:line="400" w:lineRule="exact"/>
        <w:ind w:left="238"/>
        <w:jc w:val="right"/>
        <w:rPr>
          <w:rFonts w:ascii="宋体" w:hAnsi="宋体" w:cs="Arial"/>
          <w:color w:val="auto"/>
          <w:szCs w:val="21"/>
          <w:highlight w:val="none"/>
        </w:rPr>
      </w:pPr>
      <w:r>
        <w:rPr>
          <w:rFonts w:hint="eastAsia" w:ascii="宋体" w:hAnsi="宋体"/>
          <w:color w:val="auto"/>
          <w:szCs w:val="21"/>
          <w:highlight w:val="none"/>
        </w:rPr>
        <w:t xml:space="preserve">                                     广西东博会场馆运营有限公司</w:t>
      </w:r>
    </w:p>
    <w:p>
      <w:pPr>
        <w:spacing w:line="400" w:lineRule="exact"/>
        <w:jc w:val="center"/>
        <w:rPr>
          <w:rFonts w:ascii="宋体" w:hAnsi="宋体"/>
          <w:b/>
          <w:color w:val="auto"/>
          <w:sz w:val="32"/>
          <w:szCs w:val="32"/>
          <w:highlight w:val="none"/>
        </w:rPr>
      </w:pPr>
      <w:r>
        <w:rPr>
          <w:rFonts w:hint="eastAsia" w:ascii="宋体" w:hAnsi="宋体"/>
          <w:color w:val="auto"/>
          <w:szCs w:val="21"/>
          <w:highlight w:val="none"/>
          <w:u w:val="none"/>
          <w:lang w:val="en-US" w:eastAsia="zh-CN"/>
        </w:rPr>
        <w:t xml:space="preserve">                                                          2020年5月26日</w:t>
      </w:r>
      <w:r>
        <w:rPr>
          <w:rFonts w:ascii="宋体" w:hAnsi="宋体"/>
          <w:b/>
          <w:color w:val="auto"/>
          <w:sz w:val="32"/>
          <w:szCs w:val="32"/>
          <w:highlight w:val="none"/>
        </w:rPr>
        <w:br w:type="page"/>
      </w:r>
    </w:p>
    <w:p>
      <w:pPr>
        <w:pStyle w:val="4"/>
        <w:jc w:val="center"/>
        <w:rPr>
          <w:color w:val="auto"/>
          <w:highlight w:val="none"/>
        </w:rPr>
      </w:pPr>
      <w:bookmarkStart w:id="1" w:name="_Toc393040185"/>
      <w:r>
        <w:rPr>
          <w:rFonts w:hint="eastAsia"/>
          <w:color w:val="auto"/>
          <w:highlight w:val="none"/>
        </w:rPr>
        <w:t>第二章供应商须知</w:t>
      </w:r>
      <w:bookmarkEnd w:id="1"/>
    </w:p>
    <w:p>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pPr>
        <w:spacing w:line="400" w:lineRule="exact"/>
        <w:jc w:val="center"/>
        <w:rPr>
          <w:rFonts w:ascii="宋体" w:hAnsi="宋体"/>
          <w:b/>
          <w:color w:val="auto"/>
          <w:sz w:val="32"/>
          <w:szCs w:val="32"/>
          <w:highlight w:val="none"/>
        </w:rPr>
      </w:pPr>
    </w:p>
    <w:tbl>
      <w:tblPr>
        <w:tblStyle w:val="4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993"/>
        <w:gridCol w:w="6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spacing w:line="34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993" w:type="dxa"/>
          </w:tcPr>
          <w:p>
            <w:pPr>
              <w:spacing w:line="34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6854" w:type="dxa"/>
          </w:tcPr>
          <w:p>
            <w:pPr>
              <w:spacing w:line="340" w:lineRule="exact"/>
              <w:jc w:val="center"/>
              <w:rPr>
                <w:rFonts w:ascii="宋体" w:hAnsi="宋体"/>
                <w:b/>
                <w:color w:val="auto"/>
                <w:szCs w:val="21"/>
                <w:highlight w:val="none"/>
              </w:rPr>
            </w:pPr>
            <w:r>
              <w:rPr>
                <w:rFonts w:hint="eastAsia" w:ascii="宋体" w:hAnsi="宋体"/>
                <w:b/>
                <w:color w:val="auto"/>
                <w:szCs w:val="21"/>
                <w:highlight w:val="none"/>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1.1</w:t>
            </w:r>
          </w:p>
        </w:tc>
        <w:tc>
          <w:tcPr>
            <w:tcW w:w="6854" w:type="dxa"/>
            <w:vAlign w:val="center"/>
          </w:tcPr>
          <w:p>
            <w:pPr>
              <w:spacing w:line="340" w:lineRule="exact"/>
              <w:rPr>
                <w:rFonts w:ascii="宋体" w:hAnsi="宋体"/>
                <w:color w:val="auto"/>
                <w:szCs w:val="21"/>
                <w:highlight w:val="none"/>
                <w:u w:val="single"/>
              </w:rPr>
            </w:pPr>
            <w:r>
              <w:rPr>
                <w:rFonts w:hint="eastAsia" w:ascii="宋体" w:hAnsi="宋体"/>
                <w:color w:val="auto"/>
                <w:szCs w:val="21"/>
                <w:highlight w:val="none"/>
              </w:rPr>
              <w:t>项目名称：南宁国际会展中心球馆</w:t>
            </w:r>
            <w:r>
              <w:rPr>
                <w:rFonts w:hint="eastAsia" w:ascii="宋体" w:hAnsi="宋体"/>
                <w:color w:val="auto"/>
                <w:szCs w:val="21"/>
                <w:highlight w:val="none"/>
                <w:lang w:eastAsia="zh-CN"/>
              </w:rPr>
              <w:t>设施</w:t>
            </w:r>
            <w:r>
              <w:rPr>
                <w:rFonts w:hint="eastAsia" w:ascii="宋体" w:hAnsi="宋体"/>
                <w:color w:val="auto"/>
                <w:szCs w:val="21"/>
                <w:highlight w:val="none"/>
              </w:rPr>
              <w:t>搬</w:t>
            </w:r>
            <w:r>
              <w:rPr>
                <w:rFonts w:hint="eastAsia" w:ascii="宋体" w:hAnsi="宋体"/>
                <w:color w:val="auto"/>
                <w:szCs w:val="21"/>
                <w:highlight w:val="none"/>
                <w:lang w:eastAsia="zh-CN"/>
              </w:rPr>
              <w:t>运及</w:t>
            </w:r>
            <w:r>
              <w:rPr>
                <w:rFonts w:hint="eastAsia" w:ascii="宋体" w:hAnsi="宋体"/>
                <w:color w:val="auto"/>
                <w:szCs w:val="21"/>
                <w:highlight w:val="none"/>
              </w:rPr>
              <w:t>拆装服务采购</w:t>
            </w:r>
          </w:p>
          <w:p>
            <w:pPr>
              <w:spacing w:line="340" w:lineRule="exact"/>
              <w:rPr>
                <w:rFonts w:ascii="宋体" w:hAnsi="宋体"/>
                <w:color w:val="auto"/>
                <w:szCs w:val="21"/>
                <w:highlight w:val="none"/>
                <w:u w:val="single"/>
              </w:rPr>
            </w:pPr>
            <w:r>
              <w:rPr>
                <w:rFonts w:hint="eastAsia" w:ascii="宋体" w:hAnsi="宋体"/>
                <w:color w:val="auto"/>
                <w:szCs w:val="21"/>
                <w:highlight w:val="none"/>
              </w:rPr>
              <w:t>项目编号：</w:t>
            </w:r>
          </w:p>
          <w:p>
            <w:pPr>
              <w:spacing w:line="340" w:lineRule="exact"/>
              <w:rPr>
                <w:rFonts w:ascii="宋体" w:hAnsi="宋体"/>
                <w:color w:val="auto"/>
                <w:szCs w:val="21"/>
                <w:highlight w:val="none"/>
                <w:u w:val="single"/>
              </w:rPr>
            </w:pPr>
            <w:r>
              <w:rPr>
                <w:rFonts w:hint="eastAsia" w:ascii="宋体" w:hAnsi="宋体"/>
                <w:color w:val="auto"/>
                <w:szCs w:val="21"/>
                <w:highlight w:val="none"/>
              </w:rPr>
              <w:t>项目预算：</w:t>
            </w:r>
            <w:r>
              <w:rPr>
                <w:rFonts w:hint="eastAsia" w:ascii="宋体" w:hAnsi="宋体"/>
                <w:color w:val="auto"/>
                <w:szCs w:val="21"/>
                <w:highlight w:val="none"/>
                <w:u w:val="single"/>
                <w:lang w:val="en-US" w:eastAsia="zh-CN"/>
              </w:rPr>
              <w:t>7.5</w:t>
            </w:r>
            <w:r>
              <w:rPr>
                <w:rFonts w:hint="eastAsia" w:ascii="宋体" w:hAnsi="宋体"/>
                <w:color w:val="auto"/>
                <w:szCs w:val="21"/>
                <w:highlight w:val="none"/>
                <w:u w:val="single"/>
              </w:rPr>
              <w:t>万元整</w:t>
            </w:r>
            <w:r>
              <w:rPr>
                <w:rFonts w:hint="eastAsia" w:ascii="宋体" w:hAns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2</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3</w:t>
            </w:r>
          </w:p>
        </w:tc>
        <w:tc>
          <w:tcPr>
            <w:tcW w:w="6854" w:type="dxa"/>
            <w:vAlign w:val="center"/>
          </w:tcPr>
          <w:p>
            <w:pPr>
              <w:spacing w:line="340" w:lineRule="exact"/>
              <w:rPr>
                <w:rFonts w:ascii="宋体" w:hAnsi="宋体"/>
                <w:color w:val="auto"/>
                <w:szCs w:val="21"/>
                <w:highlight w:val="none"/>
              </w:rPr>
            </w:pPr>
            <w:r>
              <w:rPr>
                <w:rFonts w:hint="eastAsia" w:ascii="宋体" w:hAnsi="宋体"/>
                <w:color w:val="auto"/>
                <w:szCs w:val="21"/>
                <w:highlight w:val="none"/>
              </w:rPr>
              <w:t>供应商的基本条件：</w:t>
            </w:r>
          </w:p>
          <w:p>
            <w:pPr>
              <w:spacing w:line="340" w:lineRule="exact"/>
              <w:rPr>
                <w:rFonts w:ascii="宋体" w:hAnsi="宋体"/>
                <w:color w:val="auto"/>
                <w:szCs w:val="21"/>
                <w:highlight w:val="none"/>
              </w:rPr>
            </w:pPr>
            <w:r>
              <w:rPr>
                <w:rFonts w:hint="eastAsia" w:ascii="宋体" w:hAnsi="宋体"/>
                <w:color w:val="auto"/>
                <w:szCs w:val="21"/>
                <w:highlight w:val="none"/>
              </w:rPr>
              <w:t>1.国内注册（指按国家有关规定要求注册的），经营范围包含本次招标采购服务，具备法人资格的供应商；</w:t>
            </w:r>
          </w:p>
          <w:p>
            <w:pPr>
              <w:spacing w:line="340" w:lineRule="exact"/>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.本项目不接受联合体竞标。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3</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4.2</w:t>
            </w:r>
          </w:p>
        </w:tc>
        <w:tc>
          <w:tcPr>
            <w:tcW w:w="6854" w:type="dxa"/>
            <w:vAlign w:val="center"/>
          </w:tcPr>
          <w:p>
            <w:pPr>
              <w:spacing w:line="340" w:lineRule="exact"/>
              <w:rPr>
                <w:rFonts w:ascii="宋体" w:hAnsi="宋体"/>
                <w:color w:val="auto"/>
                <w:szCs w:val="21"/>
                <w:highlight w:val="none"/>
              </w:rPr>
            </w:pPr>
            <w:r>
              <w:rPr>
                <w:rFonts w:hint="eastAsia" w:ascii="宋体" w:hAnsi="宋体"/>
                <w:b/>
                <w:color w:val="auto"/>
                <w:szCs w:val="21"/>
                <w:highlight w:val="none"/>
              </w:rPr>
              <w:t>成交服务费：0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4</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9.1</w:t>
            </w:r>
          </w:p>
        </w:tc>
        <w:tc>
          <w:tcPr>
            <w:tcW w:w="6854" w:type="dxa"/>
            <w:vAlign w:val="center"/>
          </w:tcPr>
          <w:p>
            <w:pPr>
              <w:tabs>
                <w:tab w:val="left" w:pos="525"/>
              </w:tabs>
              <w:snapToGrid w:val="0"/>
              <w:spacing w:line="340" w:lineRule="exact"/>
              <w:jc w:val="left"/>
              <w:rPr>
                <w:rFonts w:ascii="宋体" w:hAnsi="宋体"/>
                <w:color w:val="auto"/>
                <w:szCs w:val="21"/>
                <w:highlight w:val="none"/>
              </w:rPr>
            </w:pPr>
            <w:r>
              <w:rPr>
                <w:rFonts w:hint="eastAsia" w:ascii="宋体" w:hAnsi="宋体"/>
                <w:color w:val="auto"/>
                <w:szCs w:val="21"/>
                <w:highlight w:val="none"/>
              </w:rPr>
              <w:t>竞标报价：供应商必须就所投项目的全部内容作完整唯一报价，漏项报价的或有选择的或有条件的报价，其竞标将视为无效。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5</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10.1</w:t>
            </w:r>
          </w:p>
        </w:tc>
        <w:tc>
          <w:tcPr>
            <w:tcW w:w="6854" w:type="dxa"/>
            <w:vAlign w:val="center"/>
          </w:tcPr>
          <w:p>
            <w:pPr>
              <w:spacing w:line="340" w:lineRule="exact"/>
              <w:rPr>
                <w:rFonts w:ascii="宋体" w:hAnsi="宋体"/>
                <w:color w:val="auto"/>
                <w:szCs w:val="21"/>
                <w:highlight w:val="none"/>
              </w:rPr>
            </w:pPr>
            <w:r>
              <w:rPr>
                <w:rFonts w:hint="eastAsia" w:ascii="宋体" w:hAnsi="宋体"/>
                <w:color w:val="auto"/>
                <w:szCs w:val="21"/>
                <w:highlight w:val="none"/>
              </w:rPr>
              <w:t>竞争性谈判文件份数：正本一份、副本两份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6</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7</w:t>
            </w:r>
          </w:p>
        </w:tc>
        <w:tc>
          <w:tcPr>
            <w:tcW w:w="6854" w:type="dxa"/>
            <w:vAlign w:val="center"/>
          </w:tcPr>
          <w:p>
            <w:pPr>
              <w:spacing w:line="340" w:lineRule="exact"/>
              <w:rPr>
                <w:rFonts w:ascii="宋体" w:hAnsi="宋体"/>
                <w:color w:val="auto"/>
                <w:szCs w:val="21"/>
                <w:highlight w:val="none"/>
              </w:rPr>
            </w:pPr>
            <w:r>
              <w:rPr>
                <w:rFonts w:hint="eastAsia" w:ascii="宋体" w:hAnsi="宋体"/>
                <w:color w:val="auto"/>
                <w:szCs w:val="21"/>
                <w:highlight w:val="none"/>
              </w:rPr>
              <w:t>竞标有效期：自竞标截止之日起至采购合同签订之日止。</w:t>
            </w:r>
          </w:p>
          <w:p>
            <w:pPr>
              <w:pStyle w:val="14"/>
              <w:widowControl w:val="0"/>
              <w:tabs>
                <w:tab w:val="clear" w:pos="454"/>
              </w:tabs>
              <w:snapToGrid w:val="0"/>
              <w:spacing w:afterLines="0" w:line="340" w:lineRule="exact"/>
              <w:ind w:left="0" w:firstLine="0"/>
              <w:rPr>
                <w:rFonts w:ascii="宋体" w:hAnsi="宋体"/>
                <w:color w:val="auto"/>
                <w:sz w:val="21"/>
                <w:szCs w:val="21"/>
                <w:highlight w:val="none"/>
              </w:rPr>
            </w:pPr>
            <w:bookmarkStart w:id="2" w:name="_Toc254970681"/>
            <w:bookmarkStart w:id="3" w:name="_Toc254970540"/>
            <w:r>
              <w:rPr>
                <w:rFonts w:hint="eastAsia" w:ascii="宋体" w:hAnsi="宋体"/>
                <w:color w:val="auto"/>
                <w:sz w:val="21"/>
                <w:szCs w:val="21"/>
                <w:highlight w:val="none"/>
              </w:rPr>
              <w:t>1.未成交的响应文件竞标有效期内均应保持有效。</w:t>
            </w:r>
            <w:bookmarkEnd w:id="2"/>
            <w:bookmarkEnd w:id="3"/>
          </w:p>
          <w:p>
            <w:pPr>
              <w:pStyle w:val="14"/>
              <w:widowControl w:val="0"/>
              <w:tabs>
                <w:tab w:val="clear" w:pos="454"/>
              </w:tabs>
              <w:snapToGrid w:val="0"/>
              <w:spacing w:afterLines="0" w:line="340" w:lineRule="exact"/>
              <w:ind w:left="0" w:firstLine="0"/>
              <w:rPr>
                <w:rFonts w:ascii="宋体" w:hAnsi="宋体"/>
                <w:color w:val="auto"/>
                <w:sz w:val="21"/>
                <w:szCs w:val="21"/>
                <w:highlight w:val="none"/>
              </w:rPr>
            </w:pPr>
            <w:r>
              <w:rPr>
                <w:rFonts w:hint="eastAsia" w:ascii="宋体" w:hAnsi="宋体"/>
                <w:color w:val="auto"/>
                <w:sz w:val="21"/>
                <w:szCs w:val="21"/>
                <w:highlight w:val="none"/>
              </w:rPr>
              <w:t>2.成交供应商的响应文件自开标之日起至合同履行完毕止均应保持有效。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7</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8</w:t>
            </w:r>
          </w:p>
        </w:tc>
        <w:tc>
          <w:tcPr>
            <w:tcW w:w="6854" w:type="dxa"/>
            <w:vAlign w:val="center"/>
          </w:tcPr>
          <w:p>
            <w:pPr>
              <w:snapToGrid w:val="0"/>
              <w:spacing w:line="340" w:lineRule="exact"/>
              <w:rPr>
                <w:rFonts w:ascii="宋体" w:hAnsi="宋体"/>
                <w:color w:val="auto"/>
                <w:szCs w:val="21"/>
                <w:highlight w:val="none"/>
              </w:rPr>
            </w:pPr>
            <w:r>
              <w:rPr>
                <w:rFonts w:hint="eastAsia" w:ascii="宋体" w:hAnsi="宋体"/>
                <w:color w:val="auto"/>
                <w:szCs w:val="21"/>
                <w:highlight w:val="none"/>
              </w:rPr>
              <w:t>竞标保证金金额：0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8</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11</w:t>
            </w:r>
          </w:p>
        </w:tc>
        <w:tc>
          <w:tcPr>
            <w:tcW w:w="6854" w:type="dxa"/>
            <w:vAlign w:val="center"/>
          </w:tcPr>
          <w:p>
            <w:pPr>
              <w:spacing w:line="400" w:lineRule="exact"/>
              <w:rPr>
                <w:rFonts w:hint="eastAsia" w:ascii="宋体" w:hAnsi="宋体"/>
                <w:color w:val="auto"/>
                <w:szCs w:val="21"/>
                <w:highlight w:val="none"/>
                <w:u w:val="single"/>
              </w:rPr>
            </w:pPr>
            <w:r>
              <w:rPr>
                <w:rFonts w:hint="eastAsia" w:ascii="宋体" w:hAnsi="宋体"/>
                <w:color w:val="auto"/>
                <w:szCs w:val="21"/>
                <w:highlight w:val="none"/>
              </w:rPr>
              <w:t>竞争性谈判文件接收时间：</w:t>
            </w:r>
            <w:r>
              <w:rPr>
                <w:rFonts w:hint="eastAsia" w:ascii="宋体" w:hAnsi="宋体"/>
                <w:color w:val="auto"/>
                <w:szCs w:val="21"/>
                <w:highlight w:val="none"/>
                <w:u w:val="single"/>
              </w:rPr>
              <w:t>2020年</w:t>
            </w:r>
            <w:r>
              <w:rPr>
                <w:rFonts w:hint="default" w:ascii="宋体" w:hAnsi="宋体"/>
                <w:color w:val="auto"/>
                <w:szCs w:val="21"/>
                <w:highlight w:val="none"/>
                <w:u w:val="single"/>
              </w:rPr>
              <w:t>5</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 xml:space="preserve"> 26</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8</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分至2020年</w:t>
            </w:r>
            <w:r>
              <w:rPr>
                <w:rFonts w:hint="default" w:ascii="宋体" w:hAnsi="宋体"/>
                <w:color w:val="auto"/>
                <w:szCs w:val="21"/>
                <w:highlight w:val="none"/>
                <w:u w:val="single"/>
              </w:rPr>
              <w:t>5</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28</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18</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分</w:t>
            </w:r>
          </w:p>
          <w:p>
            <w:pPr>
              <w:spacing w:line="400" w:lineRule="exact"/>
              <w:rPr>
                <w:rFonts w:hint="eastAsia" w:ascii="宋体" w:hAnsi="宋体" w:eastAsia="宋体"/>
                <w:color w:val="auto"/>
                <w:szCs w:val="21"/>
                <w:highlight w:val="none"/>
                <w:u w:val="single"/>
                <w:lang w:eastAsia="zh-CN"/>
              </w:rPr>
            </w:pPr>
            <w:r>
              <w:rPr>
                <w:rFonts w:hint="eastAsia" w:ascii="宋体" w:hAnsi="宋体"/>
                <w:bCs/>
                <w:color w:val="auto"/>
                <w:szCs w:val="21"/>
                <w:highlight w:val="none"/>
                <w:lang w:eastAsia="zh-CN"/>
              </w:rPr>
              <w:t>响应</w:t>
            </w:r>
            <w:r>
              <w:rPr>
                <w:rFonts w:hint="eastAsia" w:ascii="宋体" w:hAnsi="宋体"/>
                <w:color w:val="auto"/>
                <w:szCs w:val="21"/>
                <w:highlight w:val="none"/>
              </w:rPr>
              <w:t>文件递交时间：</w:t>
            </w:r>
            <w:r>
              <w:rPr>
                <w:rFonts w:hint="eastAsia" w:ascii="宋体" w:hAnsi="宋体"/>
                <w:color w:val="auto"/>
                <w:szCs w:val="21"/>
                <w:highlight w:val="none"/>
                <w:u w:val="single"/>
              </w:rPr>
              <w:t>2020年</w:t>
            </w:r>
            <w:r>
              <w:rPr>
                <w:rFonts w:hint="default" w:ascii="宋体" w:hAnsi="宋体"/>
                <w:color w:val="auto"/>
                <w:szCs w:val="21"/>
                <w:highlight w:val="none"/>
                <w:u w:val="single"/>
              </w:rPr>
              <w:t>5</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 xml:space="preserve"> 29 </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10</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分</w:t>
            </w:r>
            <w:r>
              <w:rPr>
                <w:rFonts w:hint="eastAsia" w:ascii="宋体" w:hAnsi="宋体"/>
                <w:color w:val="auto"/>
                <w:szCs w:val="21"/>
                <w:highlight w:val="none"/>
                <w:u w:val="single"/>
                <w:lang w:eastAsia="zh-CN"/>
              </w:rPr>
              <w:t>前</w:t>
            </w:r>
          </w:p>
          <w:p>
            <w:pPr>
              <w:spacing w:line="340" w:lineRule="exact"/>
              <w:rPr>
                <w:rFonts w:ascii="宋体" w:hAnsi="宋体"/>
                <w:color w:val="auto"/>
                <w:szCs w:val="21"/>
                <w:highlight w:val="none"/>
              </w:rPr>
            </w:pPr>
            <w:r>
              <w:rPr>
                <w:rFonts w:hint="eastAsia" w:ascii="宋体" w:hAnsi="宋体"/>
                <w:bCs/>
                <w:color w:val="auto"/>
                <w:szCs w:val="21"/>
                <w:highlight w:val="none"/>
                <w:lang w:eastAsia="zh-CN"/>
              </w:rPr>
              <w:t>响应</w:t>
            </w:r>
            <w:r>
              <w:rPr>
                <w:rFonts w:hint="eastAsia" w:ascii="宋体" w:hAnsi="宋体"/>
                <w:color w:val="auto"/>
                <w:szCs w:val="21"/>
                <w:highlight w:val="none"/>
              </w:rPr>
              <w:t>文件递交地点：广西东博会场馆运营有限公司（</w:t>
            </w:r>
            <w:r>
              <w:rPr>
                <w:rFonts w:hint="eastAsia" w:ascii="宋体" w:hAnsi="宋体" w:cs="宋体"/>
                <w:color w:val="auto"/>
                <w:szCs w:val="21"/>
                <w:highlight w:val="none"/>
                <w:u w:val="single"/>
              </w:rPr>
              <w:t>南宁市民族大道延长线106号C区行政北楼219号办公室</w:t>
            </w:r>
            <w:r>
              <w:rPr>
                <w:rFonts w:hint="eastAsia" w:ascii="宋体" w:hAns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9</w:t>
            </w:r>
          </w:p>
        </w:tc>
        <w:tc>
          <w:tcPr>
            <w:tcW w:w="993" w:type="dxa"/>
            <w:vAlign w:val="center"/>
          </w:tcPr>
          <w:p>
            <w:pPr>
              <w:spacing w:line="340" w:lineRule="exact"/>
              <w:jc w:val="center"/>
              <w:rPr>
                <w:rFonts w:ascii="宋体" w:hAnsi="宋体"/>
                <w:color w:val="auto"/>
                <w:szCs w:val="21"/>
                <w:highlight w:val="none"/>
              </w:rPr>
            </w:pPr>
          </w:p>
        </w:tc>
        <w:tc>
          <w:tcPr>
            <w:tcW w:w="6854" w:type="dxa"/>
            <w:vAlign w:val="center"/>
          </w:tcPr>
          <w:p>
            <w:pPr>
              <w:spacing w:line="340" w:lineRule="exact"/>
              <w:rPr>
                <w:rFonts w:ascii="宋体" w:hAnsi="宋体"/>
                <w:color w:val="auto"/>
                <w:szCs w:val="21"/>
                <w:highlight w:val="none"/>
              </w:rPr>
            </w:pPr>
            <w:r>
              <w:rPr>
                <w:rFonts w:hint="eastAsia" w:ascii="宋体" w:hAnsi="宋体"/>
                <w:color w:val="auto"/>
                <w:szCs w:val="21"/>
                <w:highlight w:val="none"/>
              </w:rPr>
              <w:t>谈判时间：</w:t>
            </w:r>
            <w:r>
              <w:rPr>
                <w:rFonts w:hint="eastAsia" w:ascii="宋体" w:hAnsi="宋体"/>
                <w:color w:val="auto"/>
                <w:szCs w:val="21"/>
                <w:highlight w:val="none"/>
                <w:u w:val="single"/>
              </w:rPr>
              <w:t>2020年</w:t>
            </w:r>
            <w:r>
              <w:rPr>
                <w:rFonts w:hint="default" w:ascii="宋体" w:hAnsi="宋体"/>
                <w:color w:val="auto"/>
                <w:szCs w:val="21"/>
                <w:highlight w:val="none"/>
                <w:u w:val="single"/>
              </w:rPr>
              <w:t>5</w:t>
            </w:r>
            <w:r>
              <w:rPr>
                <w:rFonts w:hint="eastAsia" w:ascii="宋体" w:hAnsi="宋体"/>
                <w:color w:val="auto"/>
                <w:szCs w:val="21"/>
                <w:highlight w:val="none"/>
                <w:u w:val="single"/>
              </w:rPr>
              <w:t>月</w:t>
            </w:r>
            <w:r>
              <w:rPr>
                <w:rFonts w:hint="default" w:ascii="宋体" w:hAnsi="宋体"/>
                <w:color w:val="auto"/>
                <w:szCs w:val="21"/>
                <w:highlight w:val="none"/>
                <w:u w:val="single"/>
              </w:rPr>
              <w:t xml:space="preserve"> </w:t>
            </w:r>
            <w:r>
              <w:rPr>
                <w:rFonts w:hint="eastAsia" w:ascii="宋体" w:hAnsi="宋体"/>
                <w:color w:val="auto"/>
                <w:szCs w:val="21"/>
                <w:highlight w:val="none"/>
                <w:u w:val="single"/>
                <w:lang w:val="en-US" w:eastAsia="zh-CN"/>
              </w:rPr>
              <w:t>29</w:t>
            </w:r>
            <w:r>
              <w:rPr>
                <w:rFonts w:hint="default" w:ascii="宋体" w:hAnsi="宋体"/>
                <w:color w:val="auto"/>
                <w:szCs w:val="21"/>
                <w:highlight w:val="none"/>
                <w:u w:val="single"/>
              </w:rPr>
              <w:t xml:space="preserve"> </w:t>
            </w:r>
            <w:r>
              <w:rPr>
                <w:rFonts w:hint="eastAsia" w:ascii="宋体" w:hAnsi="宋体"/>
                <w:color w:val="auto"/>
                <w:szCs w:val="21"/>
                <w:highlight w:val="none"/>
                <w:u w:val="single"/>
              </w:rPr>
              <w:t>日</w:t>
            </w:r>
            <w:r>
              <w:rPr>
                <w:rFonts w:hint="default" w:ascii="宋体" w:hAnsi="宋体"/>
                <w:color w:val="auto"/>
                <w:szCs w:val="21"/>
                <w:highlight w:val="none"/>
                <w:u w:val="single"/>
              </w:rPr>
              <w:t xml:space="preserve"> </w:t>
            </w:r>
            <w:r>
              <w:rPr>
                <w:rFonts w:hint="eastAsia" w:ascii="宋体" w:hAnsi="宋体"/>
                <w:color w:val="auto"/>
                <w:szCs w:val="21"/>
                <w:highlight w:val="none"/>
                <w:u w:val="single"/>
                <w:lang w:val="en-US" w:eastAsia="zh-CN"/>
              </w:rPr>
              <w:t>15</w:t>
            </w:r>
            <w:r>
              <w:rPr>
                <w:rFonts w:hint="default" w:ascii="宋体" w:hAnsi="宋体"/>
                <w:color w:val="auto"/>
                <w:szCs w:val="21"/>
                <w:highlight w:val="none"/>
                <w:u w:val="single"/>
              </w:rPr>
              <w:t xml:space="preserve"> </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w:t>
            </w:r>
            <w:r>
              <w:rPr>
                <w:rFonts w:hint="default" w:ascii="宋体" w:hAnsi="宋体"/>
                <w:color w:val="auto"/>
                <w:szCs w:val="21"/>
                <w:highlight w:val="none"/>
                <w:u w:val="single"/>
              </w:rPr>
              <w:t xml:space="preserve"> </w:t>
            </w:r>
            <w:r>
              <w:rPr>
                <w:rFonts w:hint="eastAsia" w:ascii="宋体" w:hAnsi="宋体"/>
                <w:color w:val="auto"/>
                <w:szCs w:val="21"/>
                <w:highlight w:val="none"/>
                <w:u w:val="single"/>
              </w:rPr>
              <w:t>分</w:t>
            </w:r>
          </w:p>
          <w:p>
            <w:pPr>
              <w:spacing w:line="340" w:lineRule="exact"/>
              <w:rPr>
                <w:rFonts w:ascii="宋体" w:hAnsi="宋体"/>
                <w:color w:val="auto"/>
                <w:szCs w:val="21"/>
                <w:highlight w:val="none"/>
              </w:rPr>
            </w:pPr>
            <w:r>
              <w:rPr>
                <w:rFonts w:hint="eastAsia" w:ascii="宋体" w:hAnsi="宋体"/>
                <w:color w:val="auto"/>
                <w:szCs w:val="21"/>
                <w:highlight w:val="none"/>
              </w:rPr>
              <w:t>谈判地点：</w:t>
            </w:r>
            <w:r>
              <w:rPr>
                <w:rFonts w:hint="eastAsia" w:ascii="宋体" w:hAnsi="宋体"/>
                <w:color w:val="auto"/>
                <w:szCs w:val="21"/>
                <w:highlight w:val="none"/>
                <w:u w:val="single"/>
              </w:rPr>
              <w:t>广西东博会场馆运营有限公司（南宁市</w:t>
            </w:r>
            <w:r>
              <w:rPr>
                <w:rFonts w:hint="eastAsia" w:ascii="宋体" w:hAnsi="宋体" w:cs="宋体"/>
                <w:color w:val="auto"/>
                <w:szCs w:val="21"/>
                <w:highlight w:val="none"/>
                <w:u w:val="single"/>
              </w:rPr>
              <w:t>民族大道延长线106号C区行政北楼221号</w:t>
            </w:r>
            <w:r>
              <w:rPr>
                <w:rFonts w:hint="eastAsia" w:ascii="宋体" w:hAnsi="宋体" w:cs="宋体"/>
                <w:color w:val="auto"/>
                <w:szCs w:val="21"/>
                <w:highlight w:val="none"/>
                <w:u w:val="single"/>
                <w:lang w:eastAsia="zh-CN"/>
              </w:rPr>
              <w:t>会议室</w:t>
            </w:r>
            <w:r>
              <w:rPr>
                <w:rFonts w:hint="eastAsia" w:ascii="宋体" w:hAnsi="宋体"/>
                <w:color w:val="auto"/>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10</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15.1</w:t>
            </w:r>
          </w:p>
        </w:tc>
        <w:tc>
          <w:tcPr>
            <w:tcW w:w="6854" w:type="dxa"/>
            <w:vAlign w:val="center"/>
          </w:tcPr>
          <w:p>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履约保证金金额：</w:t>
            </w:r>
          </w:p>
          <w:p>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成交人（乙方）在签订本项目合同前，须向招标采购单位（甲方）缴纳中标</w:t>
            </w:r>
            <w:r>
              <w:rPr>
                <w:rFonts w:hint="eastAsia" w:ascii="宋体" w:hAnsi="宋体"/>
                <w:color w:val="auto"/>
                <w:szCs w:val="21"/>
                <w:highlight w:val="none"/>
                <w:u w:val="single"/>
              </w:rPr>
              <w:t xml:space="preserve">金额5% </w:t>
            </w:r>
            <w:r>
              <w:rPr>
                <w:rFonts w:hint="eastAsia" w:ascii="宋体" w:hAnsi="宋体"/>
                <w:color w:val="auto"/>
                <w:szCs w:val="21"/>
                <w:highlight w:val="none"/>
              </w:rPr>
              <w:t>的履约保证金，以保证服务期间正常运行，如乙方违反相关法律法规，不履行所订立的合同，甲方有权取消乙方中标资格，服务协议自动终止。履约保证金不予返还，所造成的损失超过履约保证金数额的，还应对超出部分予以赔偿。服务期满后，如乙方无任何违约违法行为的，甲方应在10个工作日内退还履约保证金（不计息）.</w:t>
            </w:r>
          </w:p>
          <w:p>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履约保证金交到采购人账户：</w:t>
            </w:r>
          </w:p>
          <w:p>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开户名：广西东博会场馆运营有限公司</w:t>
            </w:r>
          </w:p>
          <w:p>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开户行：中国建设银行股份有限公司南宁金湖广场支行</w:t>
            </w:r>
          </w:p>
          <w:p>
            <w:pPr>
              <w:autoSpaceDE w:val="0"/>
              <w:autoSpaceDN w:val="0"/>
              <w:snapToGrid w:val="0"/>
              <w:spacing w:line="340" w:lineRule="exact"/>
              <w:textAlignment w:val="bottom"/>
              <w:rPr>
                <w:rFonts w:hint="eastAsia" w:ascii="宋体" w:hAnsi="宋体"/>
                <w:color w:val="auto"/>
                <w:szCs w:val="21"/>
                <w:highlight w:val="none"/>
              </w:rPr>
            </w:pPr>
            <w:r>
              <w:rPr>
                <w:rFonts w:hint="eastAsia" w:ascii="宋体" w:hAnsi="宋体"/>
                <w:color w:val="auto"/>
                <w:szCs w:val="21"/>
                <w:highlight w:val="none"/>
              </w:rPr>
              <w:t>账  号：45050160426600000896</w:t>
            </w:r>
          </w:p>
          <w:p>
            <w:pPr>
              <w:autoSpaceDE w:val="0"/>
              <w:autoSpaceDN w:val="0"/>
              <w:snapToGrid w:val="0"/>
              <w:spacing w:line="340" w:lineRule="exact"/>
              <w:textAlignment w:val="bottom"/>
              <w:rPr>
                <w:rFonts w:hint="eastAsia"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11</w:t>
            </w:r>
          </w:p>
        </w:tc>
        <w:tc>
          <w:tcPr>
            <w:tcW w:w="993" w:type="dxa"/>
            <w:vAlign w:val="center"/>
          </w:tcPr>
          <w:p>
            <w:pPr>
              <w:spacing w:line="340" w:lineRule="exact"/>
              <w:jc w:val="center"/>
              <w:rPr>
                <w:rFonts w:ascii="宋体" w:hAnsi="宋体"/>
                <w:color w:val="auto"/>
                <w:szCs w:val="21"/>
                <w:highlight w:val="none"/>
              </w:rPr>
            </w:pPr>
          </w:p>
        </w:tc>
        <w:tc>
          <w:tcPr>
            <w:tcW w:w="6854" w:type="dxa"/>
            <w:vAlign w:val="center"/>
          </w:tcPr>
          <w:p>
            <w:pPr>
              <w:spacing w:line="3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特别要求：</w:t>
            </w:r>
          </w:p>
          <w:p>
            <w:pPr>
              <w:spacing w:line="340" w:lineRule="exact"/>
              <w:rPr>
                <w:rFonts w:ascii="宋体" w:hAnsi="宋体" w:cs="宋体"/>
                <w:color w:val="auto"/>
                <w:szCs w:val="21"/>
                <w:highlight w:val="none"/>
              </w:rPr>
            </w:pPr>
            <w:r>
              <w:rPr>
                <w:rFonts w:hint="eastAsia" w:ascii="宋体" w:hAnsi="宋体" w:cs="宋体"/>
                <w:color w:val="auto"/>
                <w:szCs w:val="21"/>
                <w:highlight w:val="none"/>
              </w:rPr>
              <w:t>1.本谈判采购文件中描述供应商的“公章”是指根据我国对公章的管理规定，用供应商法定主体行为名称制作的印章，除本谈判采购文件有特殊规定外，供应商的财务章、部门章、分公司章、工会章、合同章、投标专用章、业务专用章等其它形式印章均不能代替公章。</w:t>
            </w:r>
          </w:p>
          <w:p>
            <w:pPr>
              <w:spacing w:line="340" w:lineRule="exact"/>
              <w:rPr>
                <w:rFonts w:ascii="宋体" w:hAnsi="宋体" w:cs="宋体"/>
                <w:color w:val="auto"/>
                <w:szCs w:val="21"/>
                <w:highlight w:val="none"/>
              </w:rPr>
            </w:pPr>
            <w:r>
              <w:rPr>
                <w:rFonts w:hint="eastAsia" w:ascii="宋体" w:hAnsi="宋体" w:cs="宋体"/>
                <w:color w:val="auto"/>
                <w:szCs w:val="21"/>
                <w:highlight w:val="none"/>
              </w:rPr>
              <w:t>2.本谈判采购文件中描述供应商的“签字”是指供应商的法定代表人或被授权人亲自在谈判采购文件规定签署处亲笔写上个人的名字的行为，私章、签字章、印鉴、影印等其它形式均不能代替亲笔签字。</w:t>
            </w:r>
          </w:p>
        </w:tc>
      </w:tr>
    </w:tbl>
    <w:p>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p>
    <w:p>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w:t>
      </w:r>
    </w:p>
    <w:p>
      <w:pPr>
        <w:spacing w:line="360" w:lineRule="exact"/>
        <w:rPr>
          <w:rFonts w:ascii="宋体" w:hAnsi="宋体"/>
          <w:color w:val="auto"/>
          <w:szCs w:val="21"/>
          <w:highlight w:val="none"/>
        </w:rPr>
      </w:pP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一、总　则</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 适用范围</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1.1 本文件仅适用于本文件中所叙述的货物、服务类采购项目。</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 定义</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2.1“采购人”是指：</w:t>
      </w:r>
      <w:r>
        <w:rPr>
          <w:rFonts w:hint="eastAsia" w:ascii="宋体" w:hAnsi="宋体"/>
          <w:color w:val="auto"/>
          <w:szCs w:val="21"/>
          <w:highlight w:val="none"/>
          <w:u w:val="single"/>
        </w:rPr>
        <w:t>广西东博会场馆运营有限公司</w:t>
      </w:r>
    </w:p>
    <w:p>
      <w:pPr>
        <w:spacing w:line="3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2.2“采购代理机构”：无</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2.3“供应商”是指响应本文件要求，参加谈判的法人或者其他组织。如果该供应商在本次谈判中成交，即成为“成交供应商”。</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2.4“货物”是指各种形态和种类的物品，包括原材料、燃料、设备、产品等。</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2.5“服务”是指除货物和工程以外的其他采购对象。</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2.6“响应文件”是指：供应商根据本文件要求，编制包含报价、技术和服务等所有内容的响应文件。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2.7★本项目不接受联合体投标，投标人以联合体形式参加投标的，投标无效。</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 供应商的基本条件：</w:t>
      </w:r>
      <w:r>
        <w:rPr>
          <w:rFonts w:hint="eastAsia" w:ascii="宋体" w:hAnsi="宋体"/>
          <w:b/>
          <w:color w:val="auto"/>
          <w:szCs w:val="21"/>
          <w:highlight w:val="none"/>
        </w:rPr>
        <w:t>见“供应商须知前附表”</w:t>
      </w:r>
      <w:r>
        <w:rPr>
          <w:rFonts w:hint="eastAsia" w:ascii="宋体" w:hAnsi="宋体"/>
          <w:color w:val="auto"/>
          <w:szCs w:val="21"/>
          <w:highlight w:val="none"/>
        </w:rPr>
        <w:t>。</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3.1 联合体投标</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3.1.1本项目明确不接受联合体形式投标的，本谈判采购文件所有相关联合体要求及格式文件均不适用。供应商以联合体形式参加投标的，竞标无效。</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3.1.2本项目接受联合体形式投标的，联合体投标要求如下：</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供应商为联合体形式的，必须提交联合体各方资格文件、联合体协议（格式见附件），否则将视为非实质响应而被拒绝。同时还应遵守以下规定，否则竞标无效：</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（1）联合体各方必须签订联合体协议书，明确联合体牵头人和各方权利、义务及分工、合同工作量比例；</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（2）除本谈判采购文件另有规定，联合体各方中至少有一方应当符合本谈判采购文件规定的投标人特定资格条件；联合体中有同类资质的投标人应按照资质等级较低的投标人确定资质等级；</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（3）联合体各方不得再单独或与其他供应商组成新的联合体参加同一项目的采购活动；</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（4）联合体的业绩和信誉按联合体主体方（或牵头方）计算。</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 谈判费用</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4.1 供应商应自行承担所有与编写和提交响应文件有关的费用，不论谈判结果如何，采购人在任何情况下无义务和责任承担此类费用。</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4.2本项目代理服务费具体见</w:t>
      </w:r>
      <w:r>
        <w:rPr>
          <w:rFonts w:hint="eastAsia" w:ascii="宋体" w:hAnsi="宋体"/>
          <w:b/>
          <w:color w:val="auto"/>
          <w:szCs w:val="21"/>
          <w:highlight w:val="none"/>
        </w:rPr>
        <w:t>“供应商须知前附表”</w:t>
      </w:r>
      <w:r>
        <w:rPr>
          <w:rFonts w:hint="eastAsia" w:ascii="宋体" w:hAnsi="宋体"/>
          <w:color w:val="auto"/>
          <w:szCs w:val="21"/>
          <w:highlight w:val="none"/>
        </w:rPr>
        <w:t>。</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二、响应文件的编制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 响应文件编制基本要求</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5.1供应商对响应文件的编制应按要求装订和封装。</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5.2供应商提交的响应文件以及供应商与采购人就有关谈判的所有来往函电均应使用中文。供应商提交的支持文件和印刷的文献可以使用别的语言，但其相应内容必须附有中文翻译文本，在解释响应文件时以翻译文本为主。</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5.3供应商应认真阅读、并充分理解本文件的全部内容（包括所有的补充、修改内容），承诺并履行本文件中各项条款规定及要求。</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5.4响应文件必须按本文件的全部内容，包括所有的补充通知及附件进行编制。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5.5如因供应商只填写和提供了本文件要求的部分内容和附件，而给评审造成困难，其可能导致的结果和责任由供应商自行承担。</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5.6响应文件的组成。</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响应文件应分为价格文件和商务技术文件两个部分组成。</w:t>
      </w:r>
      <w:r>
        <w:rPr>
          <w:rFonts w:hint="eastAsia" w:ascii="宋体" w:hAnsi="宋体"/>
          <w:b/>
          <w:color w:val="auto"/>
          <w:szCs w:val="21"/>
          <w:highlight w:val="none"/>
        </w:rPr>
        <w:t>（下列文件均须加盖竞标单位公章；应该有的必须提供，如未提供，评审小组有权拒绝其响应文件）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5.6.1价格文件</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（1）谈判书（格式见附件一）；</w:t>
      </w:r>
      <w:r>
        <w:rPr>
          <w:rFonts w:hint="eastAsia" w:ascii="宋体" w:hAnsi="宋体"/>
          <w:b/>
          <w:color w:val="auto"/>
          <w:szCs w:val="21"/>
          <w:highlight w:val="none"/>
        </w:rPr>
        <w:t>（必须提供）</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（2）谈判报价表；（格式见附件二）</w:t>
      </w:r>
      <w:r>
        <w:rPr>
          <w:rFonts w:hint="eastAsia" w:ascii="宋体" w:hAnsi="宋体"/>
          <w:b/>
          <w:color w:val="auto"/>
          <w:szCs w:val="21"/>
          <w:highlight w:val="none"/>
        </w:rPr>
        <w:t>（必须提供）</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5.6.2 商务技术文件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）有效的新版“营业执照”副本或《事业单位法人证书》复印件</w:t>
      </w:r>
      <w:r>
        <w:rPr>
          <w:rFonts w:ascii="宋体" w:hAnsi="宋体"/>
          <w:color w:val="auto"/>
          <w:szCs w:val="21"/>
          <w:highlight w:val="none"/>
        </w:rPr>
        <w:t>(</w:t>
      </w:r>
      <w:r>
        <w:rPr>
          <w:rFonts w:hint="eastAsia" w:ascii="宋体" w:hAnsi="宋体"/>
          <w:color w:val="auto"/>
          <w:szCs w:val="21"/>
          <w:highlight w:val="none"/>
        </w:rPr>
        <w:t>经营范围包含本次采购服务）；</w:t>
      </w:r>
      <w:r>
        <w:rPr>
          <w:rFonts w:hint="eastAsia" w:ascii="宋体" w:hAnsi="宋体"/>
          <w:b/>
          <w:color w:val="auto"/>
          <w:szCs w:val="21"/>
          <w:highlight w:val="none"/>
        </w:rPr>
        <w:t>（必须提供）</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）法定代表人身份证明原件及法定代表人有效身份证正反面复印件（格式见附件六）；</w:t>
      </w:r>
      <w:r>
        <w:rPr>
          <w:rFonts w:hint="eastAsia" w:ascii="宋体" w:hAnsi="宋体"/>
          <w:b/>
          <w:color w:val="auto"/>
          <w:szCs w:val="21"/>
          <w:highlight w:val="none"/>
        </w:rPr>
        <w:t>（必须提供）</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）法定代表人授权委托书原件及被授权人有效身份证正反面复印件（格式见附件六）；</w:t>
      </w:r>
      <w:r>
        <w:rPr>
          <w:rFonts w:hint="eastAsia" w:ascii="宋体" w:hAnsi="宋体"/>
          <w:b/>
          <w:color w:val="auto"/>
          <w:szCs w:val="21"/>
          <w:highlight w:val="none"/>
        </w:rPr>
        <w:t>[委托代理时必须提供]</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）联合体竞标协议书（正本用原件，副本可用复印件）（格式见附件六）；</w:t>
      </w:r>
      <w:r>
        <w:rPr>
          <w:rFonts w:hint="eastAsia" w:ascii="宋体" w:hAnsi="宋体"/>
          <w:b/>
          <w:color w:val="auto"/>
          <w:szCs w:val="21"/>
          <w:highlight w:val="none"/>
        </w:rPr>
        <w:t>[联合体投标时必须提供（若本项目不接受联合体投标的此项不适用）]</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）参加采购活动前三年内在经营活动中没有重大违法记录的书面声明（格式见附件七）；</w:t>
      </w:r>
      <w:r>
        <w:rPr>
          <w:rFonts w:hint="eastAsia" w:ascii="宋体" w:hAnsi="宋体"/>
          <w:b/>
          <w:color w:val="auto"/>
          <w:szCs w:val="21"/>
          <w:highlight w:val="none"/>
        </w:rPr>
        <w:t>（必须提供）</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）服务响应偏离情况说明表（格式见附件三）、商务条款偏离表（格式见附件四）；</w:t>
      </w:r>
      <w:r>
        <w:rPr>
          <w:rFonts w:hint="eastAsia" w:ascii="宋体" w:hAnsi="宋体"/>
          <w:b/>
          <w:color w:val="auto"/>
          <w:szCs w:val="21"/>
          <w:highlight w:val="none"/>
        </w:rPr>
        <w:t>（必须提供）</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）投入设备响应表（格式见附件五）</w:t>
      </w:r>
      <w:r>
        <w:rPr>
          <w:rFonts w:hint="default" w:ascii="宋体" w:hAnsi="宋体"/>
          <w:b/>
          <w:bCs/>
          <w:color w:val="auto"/>
          <w:szCs w:val="21"/>
          <w:highlight w:val="none"/>
        </w:rPr>
        <w:t>（</w:t>
      </w:r>
      <w:r>
        <w:rPr>
          <w:rFonts w:hint="eastAsia" w:ascii="宋体" w:hAnsi="宋体"/>
          <w:b/>
          <w:bCs/>
          <w:color w:val="auto"/>
          <w:szCs w:val="21"/>
          <w:highlight w:val="none"/>
          <w:lang w:eastAsia="zh-CN"/>
        </w:rPr>
        <w:t>必须</w:t>
      </w:r>
      <w:r>
        <w:rPr>
          <w:rFonts w:hint="default" w:ascii="宋体" w:hAnsi="宋体"/>
          <w:b/>
          <w:bCs/>
          <w:color w:val="auto"/>
          <w:szCs w:val="21"/>
          <w:highlight w:val="none"/>
        </w:rPr>
        <w:t>提供）</w:t>
      </w:r>
      <w:r>
        <w:rPr>
          <w:rFonts w:hint="eastAsia" w:ascii="宋体" w:hAnsi="宋体"/>
          <w:color w:val="auto"/>
          <w:szCs w:val="21"/>
          <w:highlight w:val="none"/>
        </w:rPr>
        <w:t>；</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）服务承诺（请结合第三章“项目需求”自行编写）；</w:t>
      </w:r>
      <w:r>
        <w:rPr>
          <w:rFonts w:hint="eastAsia" w:ascii="宋体" w:hAnsi="宋体"/>
          <w:b/>
          <w:color w:val="auto"/>
          <w:szCs w:val="21"/>
          <w:highlight w:val="none"/>
        </w:rPr>
        <w:t>（必须提供）</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）项目实施人员一览表（格式自拟）</w:t>
      </w:r>
      <w:r>
        <w:rPr>
          <w:rFonts w:hint="default" w:ascii="宋体" w:hAnsi="宋体"/>
          <w:b/>
          <w:bCs/>
          <w:color w:val="auto"/>
          <w:szCs w:val="21"/>
          <w:highlight w:val="none"/>
        </w:rPr>
        <w:t>（必须提供）</w:t>
      </w:r>
      <w:r>
        <w:rPr>
          <w:rFonts w:hint="eastAsia" w:ascii="宋体" w:hAnsi="宋体"/>
          <w:color w:val="auto"/>
          <w:szCs w:val="21"/>
          <w:highlight w:val="none"/>
        </w:rPr>
        <w:t>；</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）优惠条件：供应商承诺给予采购人的各种优惠条件，包括服务、备品备件、专用耗材等方面的优惠(格式自拟)</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）质量</w:t>
      </w:r>
      <w:r>
        <w:rPr>
          <w:rFonts w:hint="default" w:ascii="宋体" w:hAnsi="宋体"/>
          <w:color w:val="auto"/>
          <w:szCs w:val="21"/>
          <w:highlight w:val="none"/>
        </w:rPr>
        <w:t>及安全</w:t>
      </w:r>
      <w:r>
        <w:rPr>
          <w:rFonts w:hint="eastAsia" w:ascii="宋体" w:hAnsi="宋体"/>
          <w:color w:val="auto"/>
          <w:szCs w:val="21"/>
          <w:highlight w:val="none"/>
        </w:rPr>
        <w:t>保证措施</w:t>
      </w:r>
      <w:r>
        <w:rPr>
          <w:rFonts w:hint="default" w:ascii="宋体" w:hAnsi="宋体"/>
          <w:b/>
          <w:bCs/>
          <w:color w:val="auto"/>
          <w:szCs w:val="21"/>
          <w:highlight w:val="none"/>
        </w:rPr>
        <w:t>（必须提供）</w:t>
      </w:r>
      <w:r>
        <w:rPr>
          <w:rFonts w:hint="eastAsia" w:ascii="宋体" w:hAnsi="宋体"/>
          <w:color w:val="auto"/>
          <w:szCs w:val="21"/>
          <w:highlight w:val="none"/>
        </w:rPr>
        <w:t>；</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）国家有强制性要求的应按国家规定执行，并提供相关证明材料；</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）供应商认为需要提供的有关资料。</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 计量单位</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6.1除技术要求中另有规定外，本文件所要求使用的计量单位均应采用国家法定计量单位。</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7.响应文件有效期</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7.1响应文件有效期按须知前附表规定的期限，有效期不足的响应文件按无效处理。</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7.2未成交的响应文件有效期内均应保持有效。</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7.3成交供应商的响应文件自响应文件递交截止之日起至合同履行完毕止均应保持有效。</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三、谈判报价要求</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.1供应商必须就所投项目的全部内容作完整唯一报价，漏项报价的或有选择的或有条件的报价，其竞标将视为无效。</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.2对于本文件中未列明，而供应商认为必需的费用也需列入总报价。在合同实施时，采购人将不予支付成交供应商没有列入的项目费用，并认为此项目的费用已包括在总报价中。</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.3成交供应商负责本项目所需货物的制造、运输、售后服务等全部工作。</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四、响应文件的份数、封装和递交</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 谈判响应文件的份数和封装</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1供应商应将响应文件中“价格文件”和“商务技术文件”单独封装，即：“价格文件”正本一份，副本两份；“商务技术文件”正本一份，副本两份。信封上标明“价格文件”，“商务技术文件”，然后再将所有信封封装在一个外层信封中。</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.2响应文件的信封上应写明：</w:t>
      </w:r>
    </w:p>
    <w:p>
      <w:pPr>
        <w:spacing w:line="360" w:lineRule="exact"/>
        <w:ind w:left="420"/>
        <w:rPr>
          <w:rFonts w:ascii="宋体" w:hAnsi="宋体"/>
          <w:color w:val="auto"/>
          <w:szCs w:val="21"/>
          <w:highlight w:val="none"/>
        </w:rPr>
      </w:pPr>
      <w:r>
        <w:rPr>
          <w:rFonts w:hint="eastAsia" w:ascii="宋体" w:hAnsi="宋体"/>
          <w:color w:val="auto"/>
          <w:szCs w:val="21"/>
          <w:highlight w:val="none"/>
        </w:rPr>
        <w:t>（1）项目编号；</w:t>
      </w:r>
    </w:p>
    <w:p>
      <w:pPr>
        <w:spacing w:line="360" w:lineRule="exact"/>
        <w:ind w:left="420"/>
        <w:rPr>
          <w:rFonts w:ascii="宋体" w:hAnsi="宋体"/>
          <w:color w:val="auto"/>
          <w:szCs w:val="21"/>
          <w:highlight w:val="none"/>
        </w:rPr>
      </w:pPr>
      <w:r>
        <w:rPr>
          <w:rFonts w:hint="eastAsia" w:ascii="宋体" w:hAnsi="宋体"/>
          <w:color w:val="auto"/>
          <w:szCs w:val="21"/>
          <w:highlight w:val="none"/>
        </w:rPr>
        <w:t>（2）项目名称；</w:t>
      </w:r>
    </w:p>
    <w:p>
      <w:pPr>
        <w:spacing w:line="360" w:lineRule="exact"/>
        <w:ind w:left="420"/>
        <w:rPr>
          <w:rFonts w:ascii="宋体" w:hAnsi="宋体"/>
          <w:color w:val="auto"/>
          <w:szCs w:val="21"/>
          <w:highlight w:val="none"/>
        </w:rPr>
      </w:pPr>
      <w:r>
        <w:rPr>
          <w:rFonts w:hint="eastAsia" w:ascii="宋体" w:hAnsi="宋体"/>
          <w:color w:val="auto"/>
          <w:szCs w:val="21"/>
          <w:highlight w:val="none"/>
        </w:rPr>
        <w:t>（3）供应商名称。</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 响应文件的递交</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所有响应文件应于谈判采购文件中规定的时间前递交到广西东博会场馆运营有限公司。</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.迟交的响应文件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广西东博会场馆运营有限公司拒绝或原封退回在其规定的递交响应文件截止时间之后收到的任何响应文件。</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五、响应文件评审及谈判的步骤</w:t>
      </w:r>
    </w:p>
    <w:p>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.1谈判小组由采购人代表和</w:t>
      </w:r>
      <w:r>
        <w:rPr>
          <w:rFonts w:hint="eastAsia" w:ascii="宋体" w:hAnsi="宋体" w:cs="宋体"/>
          <w:color w:val="auto"/>
          <w:kern w:val="0"/>
          <w:szCs w:val="21"/>
          <w:highlight w:val="none"/>
          <w:lang w:eastAsia="zh-CN"/>
        </w:rPr>
        <w:t>相关评委</w:t>
      </w:r>
      <w:r>
        <w:rPr>
          <w:rFonts w:hint="eastAsia" w:ascii="宋体" w:hAnsi="宋体" w:cs="宋体"/>
          <w:color w:val="auto"/>
          <w:kern w:val="0"/>
          <w:szCs w:val="21"/>
          <w:highlight w:val="none"/>
        </w:rPr>
        <w:t>共3人以上单数组成，其中</w:t>
      </w:r>
      <w:r>
        <w:rPr>
          <w:rFonts w:hint="eastAsia" w:ascii="宋体" w:hAnsi="宋体" w:cs="宋体"/>
          <w:color w:val="auto"/>
          <w:kern w:val="0"/>
          <w:sz w:val="20"/>
          <w:szCs w:val="20"/>
          <w:highlight w:val="none"/>
          <w:lang w:eastAsia="zh-CN"/>
        </w:rPr>
        <w:t>相关评委</w:t>
      </w:r>
      <w:r>
        <w:rPr>
          <w:rFonts w:hint="eastAsia" w:ascii="宋体" w:hAnsi="宋体" w:cs="宋体"/>
          <w:color w:val="auto"/>
          <w:kern w:val="0"/>
          <w:szCs w:val="21"/>
          <w:highlight w:val="none"/>
        </w:rPr>
        <w:t>人数不得少于谈判小组成员总数的2/3。</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.2</w:t>
      </w:r>
      <w:r>
        <w:rPr>
          <w:rFonts w:ascii="宋体" w:hAnsi="宋体"/>
          <w:color w:val="auto"/>
          <w:szCs w:val="21"/>
          <w:highlight w:val="none"/>
        </w:rPr>
        <w:t>谈判小组</w:t>
      </w:r>
      <w:r>
        <w:rPr>
          <w:rFonts w:hint="eastAsia" w:ascii="宋体" w:hAnsi="宋体"/>
          <w:color w:val="auto"/>
          <w:szCs w:val="21"/>
          <w:highlight w:val="none"/>
        </w:rPr>
        <w:t>确认谈判采购文件。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.3谈判小组对竞标资格条件及响应文件的有效性、完整性和响应程度进行审查。</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.3.1澄清</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.4谈判</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谈判小组按已确定的谈判顺序集中与单一供应商分别进行谈判，并给予所有参加谈判的供应商平等的谈判机会。谈判的内容包括技术性条件、商务性条件以及谈判小组认为需要谈判的内容。</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对谈判采购文件作出的实质性变动是谈判采购文件的有效组成部分，谈判小组应当及时以书面形式同时通知所有参加谈判的供应商。</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供应商应当按照谈判采购文件的变动情况和谈判小组的要求重新提交响应文件，并由其法定代表人或授权代表签字或者加盖公章。由授权代表签字的，应当附法定代表人授权书。</w:t>
      </w:r>
    </w:p>
    <w:p>
      <w:pPr>
        <w:spacing w:line="360" w:lineRule="exact"/>
        <w:ind w:firstLine="404" w:firstLineChars="200"/>
        <w:rPr>
          <w:rFonts w:ascii="宋体" w:hAnsi="宋体"/>
          <w:color w:val="auto"/>
          <w:spacing w:val="-4"/>
          <w:szCs w:val="21"/>
          <w:highlight w:val="none"/>
        </w:rPr>
      </w:pPr>
      <w:r>
        <w:rPr>
          <w:rFonts w:hint="eastAsia" w:ascii="宋体" w:hAnsi="宋体"/>
          <w:color w:val="auto"/>
          <w:spacing w:val="-4"/>
          <w:szCs w:val="21"/>
          <w:highlight w:val="none"/>
        </w:rPr>
        <w:t>谈判中，谈判的任何一方不得透露与谈判有关的其他供应商的技术资料、价格和其他信息。</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我公司根据需要对谈判过程和重要谈判内容进行记录，谈判双方在记录上签字确认。</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.5最后报价</w:t>
      </w:r>
    </w:p>
    <w:p>
      <w:pPr>
        <w:spacing w:line="36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.5.1谈判采购文件能够详细列明采购标的的技术、服务要求的，谈判结束后，谈判小组应当要求所有继续参加谈判的供应商在规定时间内密封提交最后报价，原则上参加采购的供应商不得少于3家</w:t>
      </w:r>
      <w:r>
        <w:rPr>
          <w:rFonts w:hint="eastAsia" w:ascii="宋体" w:hAnsi="宋体"/>
          <w:color w:val="auto"/>
          <w:szCs w:val="21"/>
          <w:highlight w:val="none"/>
          <w:lang w:eastAsia="zh-CN"/>
        </w:rPr>
        <w:t>。</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5.2谈判采购文件不能详细列明采购标的的技术、服务要求，需经谈判由供应商提供最终设计方案或解决方案的，谈判结束后，谈判小组应当按照少数服从多数的原则投票推荐至少2家以上供应商的设计方案或者解决方案，并要求其在规定时间内密封提交最后报价。</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.5.3最后报价是供应商响应文件的有效组成部分。</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.5.4已经提交响应文件的供应商，在提交最后报价之前，可以根据谈判情况退出谈判。采购人将退还退出谈判的供应商的保证金。</w:t>
      </w:r>
    </w:p>
    <w:p>
      <w:pPr>
        <w:widowControl/>
        <w:tabs>
          <w:tab w:val="left" w:pos="540"/>
        </w:tabs>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.6本采购项目是以采购人采购预算价为最高限价，超出采购预算价的最终竞标报价，谈判小组将不予以评审。</w:t>
      </w:r>
    </w:p>
    <w:p>
      <w:pPr>
        <w:widowControl/>
        <w:tabs>
          <w:tab w:val="left" w:pos="540"/>
        </w:tabs>
        <w:spacing w:line="360" w:lineRule="exact"/>
        <w:ind w:firstLine="420" w:firstLineChars="200"/>
        <w:jc w:val="left"/>
        <w:rPr>
          <w:rFonts w:hAnsi="宋体"/>
          <w:b/>
          <w:bCs/>
          <w:color w:val="auto"/>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.7</w:t>
      </w:r>
      <w:r>
        <w:rPr>
          <w:rFonts w:hint="eastAsia" w:hAnsi="宋体"/>
          <w:b/>
          <w:bCs/>
          <w:color w:val="auto"/>
          <w:highlight w:val="none"/>
        </w:rPr>
        <w:t>在评标过程中出现法律法规和谈判采购文件均没有明确规定的情形时，由谈判小组现场协商解决，协商不一致的，由全体谈判小组投票表决，以得票率二分之一以上专家的意见为准。</w:t>
      </w:r>
    </w:p>
    <w:p>
      <w:pPr>
        <w:widowControl/>
        <w:tabs>
          <w:tab w:val="left" w:pos="540"/>
        </w:tabs>
        <w:spacing w:line="360" w:lineRule="exact"/>
        <w:ind w:firstLine="420" w:firstLineChars="200"/>
        <w:jc w:val="left"/>
        <w:rPr>
          <w:rFonts w:ascii="宋体" w:hAnsi="宋体"/>
          <w:color w:val="auto"/>
          <w:szCs w:val="21"/>
          <w:highlight w:val="none"/>
        </w:rPr>
      </w:pPr>
      <w:r>
        <w:rPr>
          <w:rFonts w:hint="eastAsia" w:ascii="宋体" w:hAnsi="宋体"/>
          <w:bCs/>
          <w:color w:val="auto"/>
          <w:highlight w:val="none"/>
        </w:rPr>
        <w:t>1</w:t>
      </w:r>
      <w:r>
        <w:rPr>
          <w:rFonts w:hint="eastAsia" w:ascii="宋体" w:hAnsi="宋体"/>
          <w:bCs/>
          <w:color w:val="auto"/>
          <w:highlight w:val="none"/>
          <w:lang w:val="en-US" w:eastAsia="zh-CN"/>
        </w:rPr>
        <w:t>2</w:t>
      </w:r>
      <w:r>
        <w:rPr>
          <w:rFonts w:hint="eastAsia" w:ascii="宋体" w:hAnsi="宋体"/>
          <w:bCs/>
          <w:color w:val="auto"/>
          <w:highlight w:val="none"/>
        </w:rPr>
        <w:t>.8</w:t>
      </w:r>
      <w:r>
        <w:rPr>
          <w:rFonts w:hint="eastAsia" w:ascii="宋体" w:hAnsi="宋体"/>
          <w:color w:val="auto"/>
          <w:szCs w:val="21"/>
          <w:highlight w:val="none"/>
        </w:rPr>
        <w:t>特别说明：</w:t>
      </w:r>
    </w:p>
    <w:p>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出现下列情形之一的，评审时，取其中通过资格审查后的报价最低一家为有效供应商；当报价相同时，评标价相同时，依次按技术指标高优先、质量保证期长优先、处理问题响应时间短优先的顺序排列,评标价相同且前述指标均相同时，由谈判小组各成员对评标价相同的供应商当场投票表决，得票多者优先；按前述程序仍无法确定供应商排名顺序的，由评审委员会抽签决定。多家供应商参加同一项目或同一分标的竞标时，如其中两家或两家以上供应商的法定代表人为同一人或相互之间存在投资关系且达到控股的，应当按一个供应商认定。</w:t>
      </w:r>
    </w:p>
    <w:p>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（2）供应商竞标所使用的资格、信誉、荣誉、业绩与企业认证必须为本法人所拥有。</w:t>
      </w:r>
    </w:p>
    <w:p>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（3）供应商应仔细阅读谈判采购文件的所有内容，按照谈判采购文件的要求提交响应文件，并对所提供的全部资料的真实性承担法律责任。</w:t>
      </w:r>
    </w:p>
    <w:p>
      <w:pPr>
        <w:widowControl/>
        <w:spacing w:line="360" w:lineRule="exact"/>
        <w:ind w:firstLine="420" w:firstLineChars="200"/>
        <w:jc w:val="left"/>
        <w:rPr>
          <w:rFonts w:hAnsi="宋体"/>
          <w:color w:val="auto"/>
          <w:highlight w:val="none"/>
        </w:rPr>
      </w:pPr>
      <w:r>
        <w:rPr>
          <w:rFonts w:hint="eastAsia" w:ascii="宋体" w:hAnsi="宋体"/>
          <w:color w:val="auto"/>
          <w:szCs w:val="21"/>
          <w:highlight w:val="none"/>
        </w:rPr>
        <w:t>（4）供应商在竞标活动中提供任何虚假材料，其竞标无效，并报有关部门查处；中标后发现的，成交供应商须依照《中华人民共和国消费者权益保护法》规定赔偿采购人，且民事赔偿并不免除违法供应商的行政与刑事责任。</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六、确定成交供应商办法及结果公告</w:t>
      </w:r>
    </w:p>
    <w:p>
      <w:pPr>
        <w:spacing w:line="360" w:lineRule="exact"/>
        <w:ind w:firstLine="420" w:firstLineChars="200"/>
        <w:rPr>
          <w:rFonts w:ascii="宋体" w:hAnsi="宋体" w:cs="宋体"/>
          <w:color w:val="auto"/>
          <w:kern w:val="0"/>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.1</w:t>
      </w:r>
      <w:r>
        <w:rPr>
          <w:rFonts w:ascii="宋体" w:hAnsi="宋体" w:cs="宋体"/>
          <w:color w:val="auto"/>
          <w:kern w:val="0"/>
          <w:szCs w:val="21"/>
          <w:highlight w:val="none"/>
        </w:rPr>
        <w:t>采购人应当</w:t>
      </w:r>
      <w:r>
        <w:rPr>
          <w:rFonts w:hint="eastAsia" w:ascii="宋体" w:hAnsi="宋体" w:cs="宋体"/>
          <w:color w:val="auto"/>
          <w:kern w:val="0"/>
          <w:szCs w:val="21"/>
          <w:highlight w:val="none"/>
        </w:rPr>
        <w:t>评标</w:t>
      </w:r>
      <w:r>
        <w:rPr>
          <w:rFonts w:ascii="宋体" w:hAnsi="宋体" w:cs="宋体"/>
          <w:color w:val="auto"/>
          <w:kern w:val="0"/>
          <w:szCs w:val="21"/>
          <w:highlight w:val="none"/>
        </w:rPr>
        <w:t>后5个工作日内确定成交供应商</w:t>
      </w:r>
      <w:r>
        <w:rPr>
          <w:rFonts w:hint="eastAsia" w:ascii="宋体" w:hAnsi="宋体" w:cs="宋体"/>
          <w:color w:val="auto"/>
          <w:kern w:val="0"/>
          <w:szCs w:val="21"/>
          <w:highlight w:val="none"/>
        </w:rPr>
        <w:t>。</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.2采购人</w:t>
      </w:r>
      <w:r>
        <w:rPr>
          <w:rFonts w:ascii="宋体" w:hAnsi="宋体"/>
          <w:color w:val="auto"/>
          <w:szCs w:val="21"/>
          <w:highlight w:val="none"/>
        </w:rPr>
        <w:t>应当在成交供应商确定后2个工作日内，在</w:t>
      </w:r>
      <w:r>
        <w:rPr>
          <w:rFonts w:hint="eastAsia" w:ascii="宋体" w:hAnsi="宋体"/>
          <w:color w:val="auto"/>
          <w:szCs w:val="21"/>
          <w:highlight w:val="none"/>
        </w:rPr>
        <w:t>广西国际博览集团官网</w:t>
      </w:r>
      <w:r>
        <w:rPr>
          <w:rFonts w:hint="eastAsia" w:ascii="宋体" w:hAnsi="宋体"/>
          <w:color w:val="auto"/>
          <w:szCs w:val="21"/>
          <w:highlight w:val="none"/>
          <w:lang w:eastAsia="zh-CN"/>
        </w:rPr>
        <w:t>、广西东博会场馆运营有时公司官网</w:t>
      </w:r>
      <w:r>
        <w:rPr>
          <w:rFonts w:ascii="宋体" w:hAnsi="宋体"/>
          <w:color w:val="auto"/>
          <w:szCs w:val="21"/>
          <w:highlight w:val="none"/>
        </w:rPr>
        <w:t>上公告成交结果，同时向成交供应商发出成交通知书</w:t>
      </w:r>
      <w:r>
        <w:rPr>
          <w:rFonts w:hint="eastAsia" w:ascii="宋体" w:hAnsi="宋体"/>
          <w:color w:val="auto"/>
          <w:szCs w:val="21"/>
          <w:highlight w:val="none"/>
        </w:rPr>
        <w:t>。</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七、履约保证金</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.1 是否收取履约保证金具体见</w:t>
      </w:r>
      <w:r>
        <w:rPr>
          <w:rFonts w:hint="eastAsia" w:ascii="宋体" w:hAnsi="宋体"/>
          <w:b/>
          <w:color w:val="auto"/>
          <w:szCs w:val="21"/>
          <w:highlight w:val="none"/>
        </w:rPr>
        <w:t>“供应商须知前附表”</w:t>
      </w:r>
      <w:r>
        <w:rPr>
          <w:rFonts w:hint="eastAsia" w:ascii="宋体" w:hAnsi="宋体"/>
          <w:color w:val="auto"/>
          <w:szCs w:val="21"/>
          <w:highlight w:val="none"/>
        </w:rPr>
        <w:t>。</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成交人在收到采购人的《成交通知书》后，签订合同前，应按照</w:t>
      </w:r>
      <w:r>
        <w:rPr>
          <w:rFonts w:hint="eastAsia" w:ascii="宋体" w:hAnsi="宋体"/>
          <w:b/>
          <w:color w:val="auto"/>
          <w:szCs w:val="21"/>
          <w:highlight w:val="none"/>
        </w:rPr>
        <w:t>供应商须知前附表</w:t>
      </w:r>
      <w:r>
        <w:rPr>
          <w:rFonts w:hint="eastAsia" w:ascii="宋体" w:hAnsi="宋体"/>
          <w:color w:val="auto"/>
          <w:szCs w:val="21"/>
          <w:highlight w:val="none"/>
        </w:rPr>
        <w:t>的规定提交履约保证金。成交人没有按照规定提交履约保证金的，视为放弃中标，其竞标保证金不予退还。</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.3 签订合同后，如成交人不按双方签订的合同规定履约，则没收其全部履约保证金，履约保证金不足以赔偿损失的，按实际损失赔偿。</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4 履约保证金在成交供应商按合同约定履约完毕后，如乙方无任何违约违法行为的，由供应商按规定提出申请，甲方在10个工作日内无息退还履约保证金。</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.5 在履约保证金退还日期前，若成交人的开户名称、开户银行、帐号有变动的，请以书面形式通知原履约保证金收取单位，否则由此产生的后果由成交人自负。</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八、签订合同</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.1成交供应商在收到成交通知书后，按规定与采购人签订采购合同。</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.2</w:t>
      </w:r>
      <w:r>
        <w:rPr>
          <w:rFonts w:ascii="宋体" w:hAnsi="宋体"/>
          <w:color w:val="auto"/>
          <w:szCs w:val="21"/>
          <w:highlight w:val="none"/>
        </w:rPr>
        <w:t>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pPr>
        <w:rPr>
          <w:color w:val="auto"/>
          <w:highlight w:val="none"/>
        </w:rPr>
      </w:pPr>
      <w:bookmarkStart w:id="4" w:name="_Toc393040186"/>
    </w:p>
    <w:p>
      <w:pPr>
        <w:pStyle w:val="4"/>
        <w:jc w:val="center"/>
        <w:rPr>
          <w:color w:val="auto"/>
          <w:highlight w:val="none"/>
        </w:rPr>
      </w:pPr>
      <w:r>
        <w:rPr>
          <w:rFonts w:hint="eastAsia"/>
          <w:color w:val="auto"/>
          <w:highlight w:val="none"/>
        </w:rPr>
        <w:t>第三章项目需求</w:t>
      </w:r>
      <w:bookmarkEnd w:id="4"/>
    </w:p>
    <w:p>
      <w:pPr>
        <w:spacing w:line="320" w:lineRule="exact"/>
        <w:jc w:val="left"/>
        <w:rPr>
          <w:rFonts w:ascii="宋体" w:hAnsi="宋体"/>
          <w:b/>
          <w:color w:val="auto"/>
          <w:szCs w:val="21"/>
          <w:highlight w:val="none"/>
        </w:rPr>
      </w:pPr>
      <w:r>
        <w:rPr>
          <w:rFonts w:hint="eastAsia" w:ascii="宋体" w:hAnsi="宋体"/>
          <w:b/>
          <w:color w:val="auto"/>
          <w:szCs w:val="21"/>
          <w:highlight w:val="none"/>
        </w:rPr>
        <w:t>说明：</w:t>
      </w:r>
    </w:p>
    <w:p>
      <w:pPr>
        <w:spacing w:line="320" w:lineRule="exact"/>
        <w:ind w:firstLine="424" w:firstLineChars="202"/>
        <w:jc w:val="left"/>
        <w:rPr>
          <w:rFonts w:ascii="宋体" w:hAnsi="宋体"/>
          <w:color w:val="auto"/>
          <w:szCs w:val="21"/>
          <w:highlight w:val="none"/>
        </w:rPr>
      </w:pPr>
      <w:r>
        <w:rPr>
          <w:rFonts w:hint="eastAsia" w:ascii="宋体" w:hAnsi="宋体"/>
          <w:color w:val="auto"/>
          <w:szCs w:val="21"/>
          <w:highlight w:val="none"/>
        </w:rPr>
        <w:t>1.供应商必须自行为其投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pPr>
        <w:spacing w:line="320" w:lineRule="exact"/>
        <w:ind w:firstLine="426" w:firstLineChars="202"/>
        <w:jc w:val="left"/>
        <w:rPr>
          <w:rFonts w:ascii="宋体" w:hAnsi="宋体"/>
          <w:b/>
          <w:color w:val="auto"/>
          <w:szCs w:val="21"/>
          <w:highlight w:val="none"/>
        </w:rPr>
      </w:pPr>
      <w:r>
        <w:rPr>
          <w:rFonts w:hint="eastAsia" w:ascii="宋体" w:hAnsi="宋体"/>
          <w:b/>
          <w:color w:val="auto"/>
          <w:szCs w:val="21"/>
          <w:highlight w:val="none"/>
        </w:rPr>
        <w:t>2.下列服务需求说明书所列内容，打★实质性响应内容，供应商必须响应，否则竞标无效。</w:t>
      </w:r>
    </w:p>
    <w:p>
      <w:pPr>
        <w:widowControl/>
        <w:jc w:val="left"/>
        <w:rPr>
          <w:color w:val="auto"/>
          <w:highlight w:val="none"/>
        </w:rPr>
      </w:pPr>
    </w:p>
    <w:p>
      <w:pPr>
        <w:widowControl/>
        <w:jc w:val="left"/>
        <w:rPr>
          <w:color w:val="auto"/>
          <w:highlight w:val="none"/>
        </w:rPr>
      </w:pPr>
    </w:p>
    <w:tbl>
      <w:tblPr>
        <w:tblStyle w:val="4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993"/>
        <w:gridCol w:w="717"/>
        <w:gridCol w:w="6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599" w:type="dxa"/>
            <w:noWrap w:val="0"/>
            <w:vAlign w:val="center"/>
          </w:tcPr>
          <w:p>
            <w:pPr>
              <w:jc w:val="center"/>
              <w:rPr>
                <w:rFonts w:ascii="Times New Roman" w:hAnsi="Times New Roman"/>
                <w:szCs w:val="21"/>
              </w:rPr>
            </w:pPr>
            <w:r>
              <w:rPr>
                <w:rFonts w:ascii="Times New Roman" w:hAnsi="宋体"/>
                <w:szCs w:val="21"/>
              </w:rPr>
              <w:t>项号</w:t>
            </w:r>
          </w:p>
        </w:tc>
        <w:tc>
          <w:tcPr>
            <w:tcW w:w="993" w:type="dxa"/>
            <w:noWrap w:val="0"/>
            <w:vAlign w:val="center"/>
          </w:tcPr>
          <w:p>
            <w:pPr>
              <w:jc w:val="center"/>
              <w:rPr>
                <w:rFonts w:ascii="Times New Roman" w:hAnsi="Times New Roman"/>
                <w:szCs w:val="21"/>
              </w:rPr>
            </w:pPr>
            <w:r>
              <w:rPr>
                <w:rFonts w:ascii="Times New Roman" w:hAnsi="宋体"/>
                <w:szCs w:val="21"/>
              </w:rPr>
              <w:t>服务</w:t>
            </w:r>
          </w:p>
          <w:p>
            <w:pPr>
              <w:jc w:val="center"/>
              <w:rPr>
                <w:rFonts w:ascii="Times New Roman" w:hAnsi="Times New Roman"/>
                <w:szCs w:val="21"/>
              </w:rPr>
            </w:pPr>
            <w:r>
              <w:rPr>
                <w:rFonts w:ascii="Times New Roman" w:hAnsi="宋体"/>
                <w:szCs w:val="21"/>
              </w:rPr>
              <w:t>名称</w:t>
            </w:r>
          </w:p>
        </w:tc>
        <w:tc>
          <w:tcPr>
            <w:tcW w:w="717" w:type="dxa"/>
            <w:noWrap w:val="0"/>
            <w:vAlign w:val="center"/>
          </w:tcPr>
          <w:p>
            <w:pPr>
              <w:jc w:val="center"/>
              <w:rPr>
                <w:rFonts w:ascii="Times New Roman" w:hAnsi="Times New Roman"/>
                <w:szCs w:val="21"/>
              </w:rPr>
            </w:pPr>
            <w:r>
              <w:rPr>
                <w:rFonts w:ascii="Times New Roman" w:hAnsi="宋体"/>
                <w:szCs w:val="21"/>
              </w:rPr>
              <w:t>数量</w:t>
            </w:r>
          </w:p>
        </w:tc>
        <w:tc>
          <w:tcPr>
            <w:tcW w:w="6494" w:type="dxa"/>
            <w:noWrap w:val="0"/>
            <w:vAlign w:val="center"/>
          </w:tcPr>
          <w:p>
            <w:pPr>
              <w:jc w:val="center"/>
              <w:rPr>
                <w:rFonts w:ascii="Times New Roman" w:hAnsi="Times New Roman"/>
                <w:szCs w:val="21"/>
              </w:rPr>
            </w:pPr>
            <w:r>
              <w:rPr>
                <w:rFonts w:ascii="Times New Roman" w:hAnsi="宋体"/>
                <w:szCs w:val="21"/>
              </w:rPr>
              <w:t>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noWrap w:val="0"/>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p>
        </w:tc>
        <w:tc>
          <w:tcPr>
            <w:tcW w:w="993" w:type="dxa"/>
            <w:noWrap w:val="0"/>
            <w:vAlign w:val="center"/>
          </w:tcPr>
          <w:p>
            <w:pPr>
              <w:spacing w:line="360" w:lineRule="auto"/>
              <w:jc w:val="center"/>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球馆内物品搬</w:t>
            </w:r>
            <w:r>
              <w:rPr>
                <w:rFonts w:hint="eastAsia" w:ascii="宋体" w:hAnsi="宋体"/>
                <w:color w:val="auto"/>
                <w:szCs w:val="21"/>
                <w:highlight w:val="none"/>
                <w:lang w:eastAsia="zh-CN"/>
              </w:rPr>
              <w:t>运</w:t>
            </w:r>
            <w:r>
              <w:rPr>
                <w:rFonts w:ascii="Times New Roman" w:hAnsi="宋体"/>
                <w:color w:val="000000" w:themeColor="text1"/>
                <w:szCs w:val="21"/>
                <w14:textFill>
                  <w14:solidFill>
                    <w14:schemeClr w14:val="tx1"/>
                  </w14:solidFill>
                </w14:textFill>
              </w:rPr>
              <w:t>安装</w:t>
            </w:r>
          </w:p>
        </w:tc>
        <w:tc>
          <w:tcPr>
            <w:tcW w:w="717" w:type="dxa"/>
            <w:noWrap w:val="0"/>
            <w:vAlign w:val="center"/>
          </w:tcPr>
          <w:p>
            <w:pPr>
              <w:spacing w:line="360" w:lineRule="auto"/>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ascii="Times New Roman" w:hAnsi="宋体"/>
                <w:color w:val="000000" w:themeColor="text1"/>
                <w:szCs w:val="21"/>
                <w14:textFill>
                  <w14:solidFill>
                    <w14:schemeClr w14:val="tx1"/>
                  </w14:solidFill>
                </w14:textFill>
              </w:rPr>
              <w:t>项</w:t>
            </w:r>
          </w:p>
        </w:tc>
        <w:tc>
          <w:tcPr>
            <w:tcW w:w="6494" w:type="dxa"/>
            <w:noWrap w:val="0"/>
            <w:vAlign w:val="center"/>
          </w:tcPr>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一、搬</w:t>
            </w:r>
            <w:r>
              <w:rPr>
                <w:rFonts w:hint="eastAsia" w:ascii="宋体" w:hAnsi="宋体"/>
                <w:color w:val="auto"/>
                <w:szCs w:val="21"/>
                <w:highlight w:val="none"/>
                <w:lang w:eastAsia="zh-CN"/>
              </w:rPr>
              <w:t>运</w:t>
            </w:r>
            <w:r>
              <w:rPr>
                <w:rFonts w:ascii="Times New Roman" w:hAnsi="宋体"/>
                <w:color w:val="000000" w:themeColor="text1"/>
                <w:szCs w:val="21"/>
                <w14:textFill>
                  <w14:solidFill>
                    <w14:schemeClr w14:val="tx1"/>
                  </w14:solidFill>
                </w14:textFill>
              </w:rPr>
              <w:t>及安装地点：南宁国际会展中心</w:t>
            </w:r>
            <w:r>
              <w:rPr>
                <w:rFonts w:ascii="Times New Roman" w:hAnsi="Times New Roman"/>
                <w:color w:val="000000" w:themeColor="text1"/>
                <w:szCs w:val="21"/>
                <w14:textFill>
                  <w14:solidFill>
                    <w14:schemeClr w14:val="tx1"/>
                  </w14:solidFill>
                </w14:textFill>
              </w:rPr>
              <w:t>9</w:t>
            </w:r>
            <w:r>
              <w:rPr>
                <w:rFonts w:ascii="Times New Roman" w:hAnsi="宋体"/>
                <w:color w:val="000000" w:themeColor="text1"/>
                <w:szCs w:val="21"/>
                <w14:textFill>
                  <w14:solidFill>
                    <w14:schemeClr w14:val="tx1"/>
                  </w14:solidFill>
                </w14:textFill>
              </w:rPr>
              <w:t>号展厅内气排球馆、</w:t>
            </w:r>
            <w:r>
              <w:rPr>
                <w:rFonts w:ascii="Times New Roman" w:hAnsi="Times New Roman"/>
                <w:color w:val="000000" w:themeColor="text1"/>
                <w:szCs w:val="21"/>
                <w14:textFill>
                  <w14:solidFill>
                    <w14:schemeClr w14:val="tx1"/>
                  </w14:solidFill>
                </w14:textFill>
              </w:rPr>
              <w:t>10</w:t>
            </w:r>
            <w:r>
              <w:rPr>
                <w:rFonts w:ascii="Times New Roman" w:hAnsi="宋体"/>
                <w:color w:val="000000" w:themeColor="text1"/>
                <w:szCs w:val="21"/>
                <w14:textFill>
                  <w14:solidFill>
                    <w14:schemeClr w14:val="tx1"/>
                  </w14:solidFill>
                </w14:textFill>
              </w:rPr>
              <w:t>号和</w:t>
            </w:r>
            <w:r>
              <w:rPr>
                <w:rFonts w:ascii="Times New Roman" w:hAnsi="Times New Roman"/>
                <w:color w:val="000000" w:themeColor="text1"/>
                <w:szCs w:val="21"/>
                <w14:textFill>
                  <w14:solidFill>
                    <w14:schemeClr w14:val="tx1"/>
                  </w14:solidFill>
                </w14:textFill>
              </w:rPr>
              <w:t>11</w:t>
            </w:r>
            <w:r>
              <w:rPr>
                <w:rFonts w:ascii="Times New Roman" w:hAnsi="宋体"/>
                <w:color w:val="000000" w:themeColor="text1"/>
                <w:szCs w:val="21"/>
                <w14:textFill>
                  <w14:solidFill>
                    <w14:schemeClr w14:val="tx1"/>
                  </w14:solidFill>
                </w14:textFill>
              </w:rPr>
              <w:t>号展厅内羽毛球馆。</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二、工作要求：</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w:t>
            </w:r>
            <w:r>
              <w:rPr>
                <w:rFonts w:ascii="Times New Roman" w:hAnsi="宋体"/>
                <w:color w:val="000000" w:themeColor="text1"/>
                <w:szCs w:val="21"/>
                <w14:textFill>
                  <w14:solidFill>
                    <w14:schemeClr w14:val="tx1"/>
                  </w14:solidFill>
                </w14:textFill>
              </w:rPr>
              <w:t>）搬</w:t>
            </w:r>
            <w:r>
              <w:rPr>
                <w:rFonts w:hint="eastAsia" w:ascii="宋体" w:hAnsi="宋体"/>
                <w:color w:val="auto"/>
                <w:szCs w:val="21"/>
                <w:highlight w:val="none"/>
                <w:lang w:eastAsia="zh-CN"/>
              </w:rPr>
              <w:t>运</w:t>
            </w:r>
            <w:r>
              <w:rPr>
                <w:rFonts w:ascii="Times New Roman" w:hAnsi="宋体"/>
                <w:color w:val="000000" w:themeColor="text1"/>
                <w:szCs w:val="21"/>
                <w14:textFill>
                  <w14:solidFill>
                    <w14:schemeClr w14:val="tx1"/>
                  </w14:solidFill>
                </w14:textFill>
              </w:rPr>
              <w:t>安装完成及验收时间：采购人提前</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天通知成交人做好拆装准备工作，成交人应在双方约定的时间段到达采购人指定现场进行作业，</w:t>
            </w:r>
            <w:r>
              <w:rPr>
                <w:rFonts w:ascii="Times New Roman" w:hAnsi="Times New Roman"/>
                <w:color w:val="000000" w:themeColor="text1"/>
                <w:szCs w:val="21"/>
                <w14:textFill>
                  <w14:solidFill>
                    <w14:schemeClr w14:val="tx1"/>
                  </w14:solidFill>
                </w14:textFill>
              </w:rPr>
              <w:t>9</w:t>
            </w: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10</w:t>
            </w: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11</w:t>
            </w:r>
            <w:r>
              <w:rPr>
                <w:rFonts w:ascii="Times New Roman" w:hAnsi="宋体"/>
                <w:color w:val="000000" w:themeColor="text1"/>
                <w:szCs w:val="21"/>
                <w14:textFill>
                  <w14:solidFill>
                    <w14:schemeClr w14:val="tx1"/>
                  </w14:solidFill>
                </w14:textFill>
              </w:rPr>
              <w:t>号球馆每一个馆安排物品拆除时间一天，安装时间</w:t>
            </w:r>
            <w:r>
              <w:rPr>
                <w:rFonts w:ascii="Times New Roman" w:hAnsi="Times New Roman"/>
                <w:color w:val="000000" w:themeColor="text1"/>
                <w:szCs w:val="21"/>
                <w14:textFill>
                  <w14:solidFill>
                    <w14:schemeClr w14:val="tx1"/>
                  </w14:solidFill>
                </w14:textFill>
              </w:rPr>
              <w:t>1</w:t>
            </w:r>
            <w:r>
              <w:rPr>
                <w:rFonts w:ascii="Times New Roman" w:hAnsi="宋体"/>
                <w:color w:val="000000" w:themeColor="text1"/>
                <w:szCs w:val="21"/>
                <w14:textFill>
                  <w14:solidFill>
                    <w14:schemeClr w14:val="tx1"/>
                  </w14:solidFill>
                </w14:textFill>
              </w:rPr>
              <w:t>天。成交人搬</w:t>
            </w:r>
            <w:r>
              <w:rPr>
                <w:rFonts w:hint="eastAsia" w:ascii="宋体" w:hAnsi="宋体"/>
                <w:color w:val="auto"/>
                <w:szCs w:val="21"/>
                <w:highlight w:val="none"/>
                <w:lang w:eastAsia="zh-CN"/>
              </w:rPr>
              <w:t>运</w:t>
            </w:r>
            <w:r>
              <w:rPr>
                <w:rFonts w:ascii="Times New Roman" w:hAnsi="宋体"/>
                <w:color w:val="000000" w:themeColor="text1"/>
                <w:szCs w:val="21"/>
                <w14:textFill>
                  <w14:solidFill>
                    <w14:schemeClr w14:val="tx1"/>
                  </w14:solidFill>
                </w14:textFill>
              </w:rPr>
              <w:t>及拆装完成并将物品恢复原样后双方现场验收并签字确认，球馆搬</w:t>
            </w:r>
            <w:r>
              <w:rPr>
                <w:rFonts w:hint="eastAsia" w:ascii="宋体" w:hAnsi="宋体"/>
                <w:color w:val="auto"/>
                <w:szCs w:val="21"/>
                <w:highlight w:val="none"/>
                <w:lang w:eastAsia="zh-CN"/>
              </w:rPr>
              <w:t>运</w:t>
            </w:r>
            <w:r>
              <w:rPr>
                <w:rFonts w:ascii="Times New Roman" w:hAnsi="宋体"/>
                <w:color w:val="000000" w:themeColor="text1"/>
                <w:szCs w:val="21"/>
                <w14:textFill>
                  <w14:solidFill>
                    <w14:schemeClr w14:val="tx1"/>
                  </w14:solidFill>
                </w14:textFill>
              </w:rPr>
              <w:t>安装、验收的具体时间由采购人视各展会安排的时间确定。</w:t>
            </w:r>
            <w:r>
              <w:rPr>
                <w:rFonts w:ascii="Times New Roman" w:hAnsi="Times New Roman"/>
                <w:color w:val="000000" w:themeColor="text1"/>
                <w:szCs w:val="21"/>
                <w14:textFill>
                  <w14:solidFill>
                    <w14:schemeClr w14:val="tx1"/>
                  </w14:solidFill>
                </w14:textFill>
              </w:rPr>
              <w:t xml:space="preserve">                                                                                                                                                                                                                                                                                                                                                  </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w:t>
            </w:r>
            <w:r>
              <w:rPr>
                <w:rFonts w:ascii="Times New Roman" w:hAnsi="宋体"/>
                <w:color w:val="000000" w:themeColor="text1"/>
                <w:szCs w:val="21"/>
                <w14:textFill>
                  <w14:solidFill>
                    <w14:schemeClr w14:val="tx1"/>
                  </w14:solidFill>
                </w14:textFill>
              </w:rPr>
              <w:t>）按采购人要求安排搬</w:t>
            </w:r>
            <w:r>
              <w:rPr>
                <w:rFonts w:hint="eastAsia" w:ascii="宋体" w:hAnsi="宋体"/>
                <w:color w:val="auto"/>
                <w:szCs w:val="21"/>
                <w:highlight w:val="none"/>
                <w:lang w:eastAsia="zh-CN"/>
              </w:rPr>
              <w:t>运</w:t>
            </w:r>
            <w:r>
              <w:rPr>
                <w:rFonts w:ascii="Times New Roman" w:hAnsi="Times New Roman"/>
                <w:color w:val="000000" w:themeColor="text1"/>
                <w:szCs w:val="21"/>
                <w14:textFill>
                  <w14:solidFill>
                    <w14:schemeClr w14:val="tx1"/>
                  </w14:solidFill>
                </w14:textFill>
              </w:rPr>
              <w:t>9</w:t>
            </w:r>
            <w:r>
              <w:rPr>
                <w:rFonts w:ascii="Times New Roman" w:hAnsi="宋体"/>
                <w:color w:val="000000" w:themeColor="text1"/>
                <w:szCs w:val="21"/>
                <w14:textFill>
                  <w14:solidFill>
                    <w14:schemeClr w14:val="tx1"/>
                  </w14:solidFill>
                </w14:textFill>
              </w:rPr>
              <w:t>号展厅气排球馆、</w:t>
            </w:r>
            <w:r>
              <w:rPr>
                <w:rFonts w:ascii="Times New Roman" w:hAnsi="Times New Roman"/>
                <w:color w:val="000000" w:themeColor="text1"/>
                <w:szCs w:val="21"/>
                <w14:textFill>
                  <w14:solidFill>
                    <w14:schemeClr w14:val="tx1"/>
                  </w14:solidFill>
                </w14:textFill>
              </w:rPr>
              <w:t>10</w:t>
            </w:r>
            <w:r>
              <w:rPr>
                <w:rFonts w:ascii="Times New Roman" w:hAnsi="宋体"/>
                <w:color w:val="000000" w:themeColor="text1"/>
                <w:szCs w:val="21"/>
                <w14:textFill>
                  <w14:solidFill>
                    <w14:schemeClr w14:val="tx1"/>
                  </w14:solidFill>
                </w14:textFill>
              </w:rPr>
              <w:t>号和</w:t>
            </w:r>
            <w:r>
              <w:rPr>
                <w:rFonts w:ascii="Times New Roman" w:hAnsi="Times New Roman"/>
                <w:color w:val="000000" w:themeColor="text1"/>
                <w:szCs w:val="21"/>
                <w14:textFill>
                  <w14:solidFill>
                    <w14:schemeClr w14:val="tx1"/>
                  </w14:solidFill>
                </w14:textFill>
              </w:rPr>
              <w:t>11</w:t>
            </w:r>
            <w:r>
              <w:rPr>
                <w:rFonts w:ascii="Times New Roman" w:hAnsi="宋体"/>
                <w:color w:val="000000" w:themeColor="text1"/>
                <w:szCs w:val="21"/>
                <w14:textFill>
                  <w14:solidFill>
                    <w14:schemeClr w14:val="tx1"/>
                  </w14:solidFill>
                </w14:textFill>
              </w:rPr>
              <w:t>号展厅羽毛球馆内全部塑胶地板、网柱、隔离网、球网、场地遮光窗帘布、前台办公座椅、物品等球馆设施搬至采购人指定仓库存放，展会结束将以上设施全部搬运回各球馆按采购人的要求安装。</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）按展会需求拆除服务台和试衣间搬运至采购人指定仓库存放，使用围板搭建服务台和试衣间，展会结束搬运回球馆重新搭建，恢复原样。</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4</w:t>
            </w:r>
            <w:r>
              <w:rPr>
                <w:rFonts w:ascii="Times New Roman" w:hAnsi="宋体"/>
                <w:color w:val="000000" w:themeColor="text1"/>
                <w:szCs w:val="21"/>
                <w14:textFill>
                  <w14:solidFill>
                    <w14:schemeClr w14:val="tx1"/>
                  </w14:solidFill>
                </w14:textFill>
              </w:rPr>
              <w:t>）按照采购人通知要求完成球馆物品拆除和安装工作内容并经双方验收合格后，视为完成一次搬</w:t>
            </w:r>
            <w:r>
              <w:rPr>
                <w:rFonts w:hint="eastAsia" w:ascii="宋体" w:hAnsi="宋体"/>
                <w:color w:val="auto"/>
                <w:szCs w:val="21"/>
                <w:highlight w:val="none"/>
                <w:lang w:eastAsia="zh-CN"/>
              </w:rPr>
              <w:t>运</w:t>
            </w:r>
            <w:bookmarkStart w:id="9" w:name="_GoBack"/>
            <w:bookmarkEnd w:id="9"/>
            <w:r>
              <w:rPr>
                <w:rFonts w:ascii="Times New Roman" w:hAnsi="宋体"/>
                <w:color w:val="000000" w:themeColor="text1"/>
                <w:szCs w:val="21"/>
                <w14:textFill>
                  <w14:solidFill>
                    <w14:schemeClr w14:val="tx1"/>
                  </w14:solidFill>
                </w14:textFill>
              </w:rPr>
              <w:t>安装工作。</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5</w:t>
            </w:r>
            <w:r>
              <w:rPr>
                <w:rFonts w:ascii="Times New Roman" w:hAnsi="宋体"/>
                <w:color w:val="000000" w:themeColor="text1"/>
                <w:szCs w:val="21"/>
                <w14:textFill>
                  <w14:solidFill>
                    <w14:schemeClr w14:val="tx1"/>
                  </w14:solidFill>
                </w14:textFill>
              </w:rPr>
              <w:t>）拆装窗帘作业人员需持高空作业证上岗（签订合同前提交</w:t>
            </w:r>
            <w:r>
              <w:rPr>
                <w:rFonts w:hint="eastAsia" w:hAnsi="宋体"/>
                <w:color w:val="000000" w:themeColor="text1"/>
                <w:szCs w:val="21"/>
                <w:lang w:eastAsia="zh-CN"/>
                <w14:textFill>
                  <w14:solidFill>
                    <w14:schemeClr w14:val="tx1"/>
                  </w14:solidFill>
                </w14:textFill>
              </w:rPr>
              <w:t>高空作业证书复印件</w:t>
            </w:r>
            <w:r>
              <w:rPr>
                <w:rFonts w:ascii="Times New Roman" w:hAnsi="宋体"/>
                <w:color w:val="000000" w:themeColor="text1"/>
                <w:szCs w:val="21"/>
                <w14:textFill>
                  <w14:solidFill>
                    <w14:schemeClr w14:val="tx1"/>
                  </w14:solidFill>
                </w14:textFill>
              </w:rPr>
              <w:t>核验）。</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6</w:t>
            </w:r>
            <w:r>
              <w:rPr>
                <w:rFonts w:ascii="Times New Roman" w:hAnsi="宋体"/>
                <w:color w:val="000000" w:themeColor="text1"/>
                <w:szCs w:val="21"/>
                <w14:textFill>
                  <w14:solidFill>
                    <w14:schemeClr w14:val="tx1"/>
                  </w14:solidFill>
                </w14:textFill>
              </w:rPr>
              <w:t>）高空作安全要求：拆装窗帘作业人员</w:t>
            </w:r>
            <w:r>
              <w:rPr>
                <w:rFonts w:hint="eastAsia" w:ascii="Times New Roman" w:hAnsi="宋体"/>
                <w:color w:val="000000" w:themeColor="text1"/>
                <w:szCs w:val="21"/>
                <w:lang w:eastAsia="zh-CN"/>
                <w14:textFill>
                  <w14:solidFill>
                    <w14:schemeClr w14:val="tx1"/>
                  </w14:solidFill>
                </w14:textFill>
              </w:rPr>
              <w:t>必须</w:t>
            </w:r>
            <w:r>
              <w:rPr>
                <w:rFonts w:ascii="Times New Roman" w:hAnsi="宋体"/>
                <w:color w:val="000000" w:themeColor="text1"/>
                <w:szCs w:val="21"/>
                <w14:textFill>
                  <w14:solidFill>
                    <w14:schemeClr w14:val="tx1"/>
                  </w14:solidFill>
                </w14:textFill>
              </w:rPr>
              <w:t>严格遵守登高作业安全施工规定，系好安全带，戴好安全帽，衣着要灵活，禁止穿硬底和带钉易滑的鞋，做好安全防护措施。</w:t>
            </w:r>
            <w:r>
              <w:rPr>
                <w:rFonts w:ascii="Times New Roman" w:hAnsi="Times New Roman"/>
                <w:color w:val="000000" w:themeColor="text1"/>
                <w:szCs w:val="21"/>
                <w14:textFill>
                  <w14:solidFill>
                    <w14:schemeClr w14:val="tx1"/>
                  </w14:solidFill>
                </w14:textFill>
              </w:rPr>
              <w:t xml:space="preserve"> </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三、质量要求：</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w:t>
            </w:r>
            <w:r>
              <w:rPr>
                <w:rFonts w:ascii="Times New Roman" w:hAnsi="宋体"/>
                <w:color w:val="000000" w:themeColor="text1"/>
                <w:szCs w:val="21"/>
                <w14:textFill>
                  <w14:solidFill>
                    <w14:schemeClr w14:val="tx1"/>
                  </w14:solidFill>
                </w14:textFill>
              </w:rPr>
              <w:t>）拆除或安装窗帘、地胶需轻拿轻放，不能损坏原物，不能出现裂隙、刮烂、撕破。</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w:t>
            </w:r>
            <w:r>
              <w:rPr>
                <w:rFonts w:ascii="Times New Roman" w:hAnsi="宋体"/>
                <w:color w:val="000000" w:themeColor="text1"/>
                <w:szCs w:val="21"/>
                <w14:textFill>
                  <w14:solidFill>
                    <w14:schemeClr w14:val="tx1"/>
                  </w14:solidFill>
                </w14:textFill>
              </w:rPr>
              <w:t>）地胶安装铺放平整、平滑，无凹凸、拉扯及歪斜。</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）窗帘安装平整，无拉扯、重叠或漏光，整体全面均匀的遮挡玻璃幕墙。</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4</w:t>
            </w:r>
            <w:r>
              <w:rPr>
                <w:rFonts w:ascii="Times New Roman" w:hAnsi="宋体"/>
                <w:color w:val="000000" w:themeColor="text1"/>
                <w:szCs w:val="21"/>
                <w14:textFill>
                  <w14:solidFill>
                    <w14:schemeClr w14:val="tx1"/>
                  </w14:solidFill>
                </w14:textFill>
              </w:rPr>
              <w:t>）服务台、试衣间的围板要求干净整洁，搭建成一直线，安装接口要紧密牢固。</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5</w:t>
            </w:r>
            <w:r>
              <w:rPr>
                <w:rFonts w:ascii="Times New Roman" w:hAnsi="宋体"/>
                <w:color w:val="000000" w:themeColor="text1"/>
                <w:szCs w:val="21"/>
                <w14:textFill>
                  <w14:solidFill>
                    <w14:schemeClr w14:val="tx1"/>
                  </w14:solidFill>
                </w14:textFill>
              </w:rPr>
              <w:t>）网柱和球网安装要求：网柱安装必须稳固且与地面垂直，球网按标准高度安装，球网两端应与网柱系紧成一水平直线且保持球网紧拉状态。</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★四、服务内容：</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以下服务次数以完成一个球馆的物品拆运、安装工作按</w:t>
            </w:r>
            <w:r>
              <w:rPr>
                <w:rFonts w:ascii="Times New Roman" w:hAnsi="Times New Roman"/>
                <w:color w:val="000000" w:themeColor="text1"/>
                <w:szCs w:val="21"/>
                <w14:textFill>
                  <w14:solidFill>
                    <w14:schemeClr w14:val="tx1"/>
                  </w14:solidFill>
                </w14:textFill>
              </w:rPr>
              <w:t>1/3</w:t>
            </w:r>
            <w:r>
              <w:rPr>
                <w:rFonts w:ascii="Times New Roman" w:hAnsi="宋体"/>
                <w:color w:val="000000" w:themeColor="text1"/>
                <w:szCs w:val="21"/>
                <w14:textFill>
                  <w14:solidFill>
                    <w14:schemeClr w14:val="tx1"/>
                  </w14:solidFill>
                </w14:textFill>
              </w:rPr>
              <w:t>次计算，合计完成</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个馆则计为</w:t>
            </w:r>
            <w:r>
              <w:rPr>
                <w:rFonts w:ascii="Times New Roman" w:hAnsi="Times New Roman"/>
                <w:color w:val="000000" w:themeColor="text1"/>
                <w:szCs w:val="21"/>
                <w14:textFill>
                  <w14:solidFill>
                    <w14:schemeClr w14:val="tx1"/>
                  </w14:solidFill>
                </w14:textFill>
              </w:rPr>
              <w:t>1</w:t>
            </w:r>
            <w:r>
              <w:rPr>
                <w:rFonts w:ascii="Times New Roman" w:hAnsi="宋体"/>
                <w:color w:val="000000" w:themeColor="text1"/>
                <w:szCs w:val="21"/>
                <w14:textFill>
                  <w14:solidFill>
                    <w14:schemeClr w14:val="tx1"/>
                  </w14:solidFill>
                </w14:textFill>
              </w:rPr>
              <w:t>次。</w:t>
            </w:r>
            <w:r>
              <w:rPr>
                <w:rFonts w:ascii="Times New Roman" w:hAnsi="Times New Roman"/>
                <w:color w:val="000000" w:themeColor="text1"/>
                <w:szCs w:val="21"/>
                <w14:textFill>
                  <w14:solidFill>
                    <w14:schemeClr w14:val="tx1"/>
                  </w14:solidFill>
                </w14:textFill>
              </w:rPr>
              <w:t xml:space="preserve"> </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w:t>
            </w:r>
            <w:r>
              <w:rPr>
                <w:rFonts w:ascii="Times New Roman" w:hAnsi="宋体"/>
                <w:color w:val="000000" w:themeColor="text1"/>
                <w:szCs w:val="21"/>
                <w14:textFill>
                  <w14:solidFill>
                    <w14:schemeClr w14:val="tx1"/>
                  </w14:solidFill>
                </w14:textFill>
              </w:rPr>
              <w:t>）塑胶地板拆除与安装：拆除</w:t>
            </w:r>
            <w:r>
              <w:rPr>
                <w:rFonts w:ascii="Times New Roman" w:hAnsi="Times New Roman"/>
                <w:color w:val="000000" w:themeColor="text1"/>
                <w:szCs w:val="21"/>
                <w14:textFill>
                  <w14:solidFill>
                    <w14:schemeClr w14:val="tx1"/>
                  </w14:solidFill>
                </w14:textFill>
              </w:rPr>
              <w:t>9</w:t>
            </w:r>
            <w:r>
              <w:rPr>
                <w:rFonts w:ascii="Times New Roman" w:hAnsi="宋体"/>
                <w:color w:val="000000" w:themeColor="text1"/>
                <w:szCs w:val="21"/>
                <w14:textFill>
                  <w14:solidFill>
                    <w14:schemeClr w14:val="tx1"/>
                  </w14:solidFill>
                </w14:textFill>
              </w:rPr>
              <w:t>号气排球馆、</w:t>
            </w:r>
            <w:r>
              <w:rPr>
                <w:rFonts w:ascii="Times New Roman" w:hAnsi="Times New Roman"/>
                <w:color w:val="000000" w:themeColor="text1"/>
                <w:szCs w:val="21"/>
                <w14:textFill>
                  <w14:solidFill>
                    <w14:schemeClr w14:val="tx1"/>
                  </w14:solidFill>
                </w14:textFill>
              </w:rPr>
              <w:t>10</w:t>
            </w:r>
            <w:r>
              <w:rPr>
                <w:rFonts w:ascii="Times New Roman" w:hAnsi="宋体"/>
                <w:color w:val="000000" w:themeColor="text1"/>
                <w:szCs w:val="21"/>
                <w14:textFill>
                  <w14:solidFill>
                    <w14:schemeClr w14:val="tx1"/>
                  </w14:solidFill>
                </w14:textFill>
              </w:rPr>
              <w:t>号和</w:t>
            </w:r>
            <w:r>
              <w:rPr>
                <w:rFonts w:ascii="Times New Roman" w:hAnsi="Times New Roman"/>
                <w:color w:val="000000" w:themeColor="text1"/>
                <w:szCs w:val="21"/>
                <w14:textFill>
                  <w14:solidFill>
                    <w14:schemeClr w14:val="tx1"/>
                  </w14:solidFill>
                </w14:textFill>
              </w:rPr>
              <w:t>11</w:t>
            </w:r>
            <w:r>
              <w:rPr>
                <w:rFonts w:ascii="Times New Roman" w:hAnsi="宋体"/>
                <w:color w:val="000000" w:themeColor="text1"/>
                <w:szCs w:val="21"/>
                <w14:textFill>
                  <w14:solidFill>
                    <w14:schemeClr w14:val="tx1"/>
                  </w14:solidFill>
                </w14:textFill>
              </w:rPr>
              <w:t>号两个羽毛球馆共</w:t>
            </w:r>
            <w:r>
              <w:rPr>
                <w:rFonts w:ascii="Times New Roman" w:hAnsi="Times New Roman"/>
                <w:color w:val="000000" w:themeColor="text1"/>
                <w:szCs w:val="21"/>
                <w14:textFill>
                  <w14:solidFill>
                    <w14:schemeClr w14:val="tx1"/>
                  </w14:solidFill>
                </w14:textFill>
              </w:rPr>
              <w:t>48</w:t>
            </w:r>
            <w:r>
              <w:rPr>
                <w:rFonts w:ascii="Times New Roman" w:hAnsi="宋体"/>
                <w:color w:val="000000" w:themeColor="text1"/>
                <w:szCs w:val="21"/>
                <w14:textFill>
                  <w14:solidFill>
                    <w14:schemeClr w14:val="tx1"/>
                  </w14:solidFill>
                </w14:textFill>
              </w:rPr>
              <w:t>片塑胶地板搬运至采购人指定仓库存放，展会结束重新搬运回</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个球馆安装，服务次数</w:t>
            </w:r>
            <w:r>
              <w:rPr>
                <w:rFonts w:hint="eastAsia" w:ascii="Times New Roman" w:hAnsi="Times New Roman"/>
                <w:color w:val="000000" w:themeColor="text1"/>
                <w:szCs w:val="21"/>
                <w:lang w:val="en-US" w:eastAsia="zh-CN"/>
                <w14:textFill>
                  <w14:solidFill>
                    <w14:schemeClr w14:val="tx1"/>
                  </w14:solidFill>
                </w14:textFill>
              </w:rPr>
              <w:t>2</w:t>
            </w:r>
            <w:r>
              <w:rPr>
                <w:rFonts w:ascii="Times New Roman" w:hAnsi="宋体"/>
                <w:color w:val="000000" w:themeColor="text1"/>
                <w:szCs w:val="21"/>
                <w14:textFill>
                  <w14:solidFill>
                    <w14:schemeClr w14:val="tx1"/>
                  </w14:solidFill>
                </w14:textFill>
              </w:rPr>
              <w:t>次。</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w:t>
            </w:r>
            <w:r>
              <w:rPr>
                <w:rFonts w:ascii="Times New Roman" w:hAnsi="宋体"/>
                <w:color w:val="000000" w:themeColor="text1"/>
                <w:szCs w:val="21"/>
                <w14:textFill>
                  <w14:solidFill>
                    <w14:schemeClr w14:val="tx1"/>
                  </w14:solidFill>
                </w14:textFill>
              </w:rPr>
              <w:t>）网柱、球网撤离与安装：拆除</w:t>
            </w:r>
            <w:r>
              <w:rPr>
                <w:rFonts w:ascii="Times New Roman" w:hAnsi="Times New Roman"/>
                <w:color w:val="000000" w:themeColor="text1"/>
                <w:szCs w:val="21"/>
                <w14:textFill>
                  <w14:solidFill>
                    <w14:schemeClr w14:val="tx1"/>
                  </w14:solidFill>
                </w14:textFill>
              </w:rPr>
              <w:t>9</w:t>
            </w:r>
            <w:r>
              <w:rPr>
                <w:rFonts w:ascii="Times New Roman" w:hAnsi="宋体"/>
                <w:color w:val="000000" w:themeColor="text1"/>
                <w:szCs w:val="21"/>
                <w14:textFill>
                  <w14:solidFill>
                    <w14:schemeClr w14:val="tx1"/>
                  </w14:solidFill>
                </w14:textFill>
              </w:rPr>
              <w:t>号气排球馆、</w:t>
            </w:r>
            <w:r>
              <w:rPr>
                <w:rFonts w:ascii="Times New Roman" w:hAnsi="Times New Roman"/>
                <w:color w:val="000000" w:themeColor="text1"/>
                <w:szCs w:val="21"/>
                <w14:textFill>
                  <w14:solidFill>
                    <w14:schemeClr w14:val="tx1"/>
                  </w14:solidFill>
                </w14:textFill>
              </w:rPr>
              <w:t>10</w:t>
            </w:r>
            <w:r>
              <w:rPr>
                <w:rFonts w:ascii="Times New Roman" w:hAnsi="宋体"/>
                <w:color w:val="000000" w:themeColor="text1"/>
                <w:szCs w:val="21"/>
                <w14:textFill>
                  <w14:solidFill>
                    <w14:schemeClr w14:val="tx1"/>
                  </w14:solidFill>
                </w14:textFill>
              </w:rPr>
              <w:t>号和</w:t>
            </w:r>
            <w:r>
              <w:rPr>
                <w:rFonts w:ascii="Times New Roman" w:hAnsi="Times New Roman"/>
                <w:color w:val="000000" w:themeColor="text1"/>
                <w:szCs w:val="21"/>
                <w14:textFill>
                  <w14:solidFill>
                    <w14:schemeClr w14:val="tx1"/>
                  </w14:solidFill>
                </w14:textFill>
              </w:rPr>
              <w:t>11</w:t>
            </w:r>
            <w:r>
              <w:rPr>
                <w:rFonts w:ascii="Times New Roman" w:hAnsi="宋体"/>
                <w:color w:val="000000" w:themeColor="text1"/>
                <w:szCs w:val="21"/>
                <w14:textFill>
                  <w14:solidFill>
                    <w14:schemeClr w14:val="tx1"/>
                  </w14:solidFill>
                </w14:textFill>
              </w:rPr>
              <w:t>号两个羽毛球共</w:t>
            </w:r>
            <w:r>
              <w:rPr>
                <w:rFonts w:ascii="Times New Roman" w:hAnsi="Times New Roman"/>
                <w:color w:val="000000" w:themeColor="text1"/>
                <w:szCs w:val="21"/>
                <w14:textFill>
                  <w14:solidFill>
                    <w14:schemeClr w14:val="tx1"/>
                  </w14:solidFill>
                </w14:textFill>
              </w:rPr>
              <w:t>48</w:t>
            </w:r>
            <w:r>
              <w:rPr>
                <w:rFonts w:ascii="Times New Roman" w:hAnsi="宋体"/>
                <w:color w:val="000000" w:themeColor="text1"/>
                <w:szCs w:val="21"/>
                <w14:textFill>
                  <w14:solidFill>
                    <w14:schemeClr w14:val="tx1"/>
                  </w14:solidFill>
                </w14:textFill>
              </w:rPr>
              <w:t>套网柱、球网搬运至采购人指定仓库存放，展会结束重新搬运回</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个球馆安装，服务次数</w:t>
            </w:r>
            <w:r>
              <w:rPr>
                <w:rFonts w:hint="eastAsia" w:ascii="Times New Roman" w:hAnsi="Times New Roman"/>
                <w:color w:val="000000" w:themeColor="text1"/>
                <w:szCs w:val="21"/>
                <w:lang w:val="en-US" w:eastAsia="zh-CN"/>
                <w14:textFill>
                  <w14:solidFill>
                    <w14:schemeClr w14:val="tx1"/>
                  </w14:solidFill>
                </w14:textFill>
              </w:rPr>
              <w:t>2</w:t>
            </w:r>
            <w:r>
              <w:rPr>
                <w:rFonts w:ascii="Times New Roman" w:hAnsi="宋体"/>
                <w:color w:val="000000" w:themeColor="text1"/>
                <w:szCs w:val="21"/>
                <w14:textFill>
                  <w14:solidFill>
                    <w14:schemeClr w14:val="tx1"/>
                  </w14:solidFill>
                </w14:textFill>
              </w:rPr>
              <w:t>次。</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）遮光窗帘布拆除与重新安装：拆除</w:t>
            </w:r>
            <w:r>
              <w:rPr>
                <w:rFonts w:ascii="Times New Roman" w:hAnsi="Times New Roman"/>
                <w:color w:val="000000" w:themeColor="text1"/>
                <w:szCs w:val="21"/>
                <w14:textFill>
                  <w14:solidFill>
                    <w14:schemeClr w14:val="tx1"/>
                  </w14:solidFill>
                </w14:textFill>
              </w:rPr>
              <w:t>9</w:t>
            </w:r>
            <w:r>
              <w:rPr>
                <w:rFonts w:ascii="Times New Roman" w:hAnsi="宋体"/>
                <w:color w:val="000000" w:themeColor="text1"/>
                <w:szCs w:val="21"/>
                <w14:textFill>
                  <w14:solidFill>
                    <w14:schemeClr w14:val="tx1"/>
                  </w14:solidFill>
                </w14:textFill>
              </w:rPr>
              <w:t>号气排球馆、</w:t>
            </w:r>
            <w:r>
              <w:rPr>
                <w:rFonts w:ascii="Times New Roman" w:hAnsi="Times New Roman"/>
                <w:color w:val="000000" w:themeColor="text1"/>
                <w:szCs w:val="21"/>
                <w14:textFill>
                  <w14:solidFill>
                    <w14:schemeClr w14:val="tx1"/>
                  </w14:solidFill>
                </w14:textFill>
              </w:rPr>
              <w:t>10</w:t>
            </w:r>
            <w:r>
              <w:rPr>
                <w:rFonts w:ascii="Times New Roman" w:hAnsi="宋体"/>
                <w:color w:val="000000" w:themeColor="text1"/>
                <w:szCs w:val="21"/>
                <w14:textFill>
                  <w14:solidFill>
                    <w14:schemeClr w14:val="tx1"/>
                  </w14:solidFill>
                </w14:textFill>
              </w:rPr>
              <w:t>号和</w:t>
            </w:r>
            <w:r>
              <w:rPr>
                <w:rFonts w:ascii="Times New Roman" w:hAnsi="Times New Roman"/>
                <w:color w:val="000000" w:themeColor="text1"/>
                <w:szCs w:val="21"/>
                <w14:textFill>
                  <w14:solidFill>
                    <w14:schemeClr w14:val="tx1"/>
                  </w14:solidFill>
                </w14:textFill>
              </w:rPr>
              <w:t>11</w:t>
            </w:r>
            <w:r>
              <w:rPr>
                <w:rFonts w:ascii="Times New Roman" w:hAnsi="宋体"/>
                <w:color w:val="000000" w:themeColor="text1"/>
                <w:szCs w:val="21"/>
                <w14:textFill>
                  <w14:solidFill>
                    <w14:schemeClr w14:val="tx1"/>
                  </w14:solidFill>
                </w14:textFill>
              </w:rPr>
              <w:t>号羽毛球馆全部遮光窗帘共</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套搬运至采购人指定仓库存放，展会结束搬运回</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个球馆安装，服务次数</w:t>
            </w:r>
            <w:r>
              <w:rPr>
                <w:rFonts w:hint="eastAsia" w:ascii="Times New Roman" w:hAnsi="Times New Roman"/>
                <w:color w:val="000000" w:themeColor="text1"/>
                <w:szCs w:val="21"/>
                <w:lang w:val="en-US" w:eastAsia="zh-CN"/>
                <w14:textFill>
                  <w14:solidFill>
                    <w14:schemeClr w14:val="tx1"/>
                  </w14:solidFill>
                </w14:textFill>
              </w:rPr>
              <w:t>2</w:t>
            </w:r>
            <w:r>
              <w:rPr>
                <w:rFonts w:ascii="Times New Roman" w:hAnsi="宋体"/>
                <w:color w:val="000000" w:themeColor="text1"/>
                <w:szCs w:val="21"/>
                <w14:textFill>
                  <w14:solidFill>
                    <w14:schemeClr w14:val="tx1"/>
                  </w14:solidFill>
                </w14:textFill>
              </w:rPr>
              <w:t>次。</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4</w:t>
            </w:r>
            <w:r>
              <w:rPr>
                <w:rFonts w:ascii="Times New Roman" w:hAnsi="宋体"/>
                <w:color w:val="000000" w:themeColor="text1"/>
                <w:szCs w:val="21"/>
                <w14:textFill>
                  <w14:solidFill>
                    <w14:schemeClr w14:val="tx1"/>
                  </w14:solidFill>
                </w14:textFill>
              </w:rPr>
              <w:t>）球馆试服务台物品拆除与搬运：拆除</w:t>
            </w:r>
            <w:r>
              <w:rPr>
                <w:rFonts w:ascii="Times New Roman" w:hAnsi="Times New Roman"/>
                <w:color w:val="000000" w:themeColor="text1"/>
                <w:szCs w:val="21"/>
                <w14:textFill>
                  <w14:solidFill>
                    <w14:schemeClr w14:val="tx1"/>
                  </w14:solidFill>
                </w14:textFill>
              </w:rPr>
              <w:t>9</w:t>
            </w:r>
            <w:r>
              <w:rPr>
                <w:rFonts w:ascii="Times New Roman" w:hAnsi="宋体"/>
                <w:color w:val="000000" w:themeColor="text1"/>
                <w:szCs w:val="21"/>
                <w14:textFill>
                  <w14:solidFill>
                    <w14:schemeClr w14:val="tx1"/>
                  </w14:solidFill>
                </w14:textFill>
              </w:rPr>
              <w:t>号气排球馆、</w:t>
            </w:r>
            <w:r>
              <w:rPr>
                <w:rFonts w:ascii="Times New Roman" w:hAnsi="Times New Roman"/>
                <w:color w:val="000000" w:themeColor="text1"/>
                <w:szCs w:val="21"/>
                <w14:textFill>
                  <w14:solidFill>
                    <w14:schemeClr w14:val="tx1"/>
                  </w14:solidFill>
                </w14:textFill>
              </w:rPr>
              <w:t>10</w:t>
            </w:r>
            <w:r>
              <w:rPr>
                <w:rFonts w:ascii="Times New Roman" w:hAnsi="宋体"/>
                <w:color w:val="000000" w:themeColor="text1"/>
                <w:szCs w:val="21"/>
                <w14:textFill>
                  <w14:solidFill>
                    <w14:schemeClr w14:val="tx1"/>
                  </w14:solidFill>
                </w14:textFill>
              </w:rPr>
              <w:t>号和</w:t>
            </w:r>
            <w:r>
              <w:rPr>
                <w:rFonts w:ascii="Times New Roman" w:hAnsi="Times New Roman"/>
                <w:color w:val="000000" w:themeColor="text1"/>
                <w:szCs w:val="21"/>
                <w14:textFill>
                  <w14:solidFill>
                    <w14:schemeClr w14:val="tx1"/>
                  </w14:solidFill>
                </w14:textFill>
              </w:rPr>
              <w:t>11</w:t>
            </w:r>
            <w:r>
              <w:rPr>
                <w:rFonts w:ascii="Times New Roman" w:hAnsi="宋体"/>
                <w:color w:val="000000" w:themeColor="text1"/>
                <w:szCs w:val="21"/>
                <w14:textFill>
                  <w14:solidFill>
                    <w14:schemeClr w14:val="tx1"/>
                  </w14:solidFill>
                </w14:textFill>
              </w:rPr>
              <w:t>号两个羽毛球馆试衣间、服务台设施（含物品）各</w:t>
            </w:r>
            <w:r>
              <w:rPr>
                <w:rFonts w:ascii="Times New Roman" w:hAnsi="Times New Roman"/>
                <w:color w:val="000000" w:themeColor="text1"/>
                <w:szCs w:val="21"/>
                <w14:textFill>
                  <w14:solidFill>
                    <w14:schemeClr w14:val="tx1"/>
                  </w14:solidFill>
                </w14:textFill>
              </w:rPr>
              <w:t>2</w:t>
            </w:r>
            <w:r>
              <w:rPr>
                <w:rFonts w:ascii="Times New Roman" w:hAnsi="宋体"/>
                <w:color w:val="000000" w:themeColor="text1"/>
                <w:szCs w:val="21"/>
                <w14:textFill>
                  <w14:solidFill>
                    <w14:schemeClr w14:val="tx1"/>
                  </w14:solidFill>
                </w14:textFill>
              </w:rPr>
              <w:t>套，搬运至采购人指定仓库存放，展会结束搬运回球馆安装摆放，服务次数</w:t>
            </w:r>
            <w:r>
              <w:rPr>
                <w:rFonts w:hint="eastAsia" w:ascii="Times New Roman" w:hAnsi="Times New Roman"/>
                <w:color w:val="000000" w:themeColor="text1"/>
                <w:szCs w:val="21"/>
                <w:lang w:val="en-US" w:eastAsia="zh-CN"/>
                <w14:textFill>
                  <w14:solidFill>
                    <w14:schemeClr w14:val="tx1"/>
                  </w14:solidFill>
                </w14:textFill>
              </w:rPr>
              <w:t>2</w:t>
            </w:r>
            <w:r>
              <w:rPr>
                <w:rFonts w:ascii="Times New Roman" w:hAnsi="宋体"/>
                <w:color w:val="000000" w:themeColor="text1"/>
                <w:szCs w:val="21"/>
                <w14:textFill>
                  <w14:solidFill>
                    <w14:schemeClr w14:val="tx1"/>
                  </w14:solidFill>
                </w14:textFill>
              </w:rPr>
              <w:t>次。</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5</w:t>
            </w:r>
            <w:r>
              <w:rPr>
                <w:rFonts w:ascii="Times New Roman" w:hAnsi="宋体"/>
                <w:color w:val="000000" w:themeColor="text1"/>
                <w:szCs w:val="21"/>
                <w14:textFill>
                  <w14:solidFill>
                    <w14:schemeClr w14:val="tx1"/>
                  </w14:solidFill>
                </w14:textFill>
              </w:rPr>
              <w:t>）服务台、试衣间拆除、搭建：展会结束按采购人要求在原球馆使用围板重新搭建服务台</w:t>
            </w:r>
            <w:r>
              <w:rPr>
                <w:rFonts w:ascii="Times New Roman" w:hAnsi="Times New Roman"/>
                <w:color w:val="000000" w:themeColor="text1"/>
                <w:szCs w:val="21"/>
                <w14:textFill>
                  <w14:solidFill>
                    <w14:schemeClr w14:val="tx1"/>
                  </w14:solidFill>
                </w14:textFill>
              </w:rPr>
              <w:t>2</w:t>
            </w:r>
            <w:r>
              <w:rPr>
                <w:rFonts w:ascii="Times New Roman" w:hAnsi="宋体"/>
                <w:color w:val="000000" w:themeColor="text1"/>
                <w:szCs w:val="21"/>
                <w14:textFill>
                  <w14:solidFill>
                    <w14:schemeClr w14:val="tx1"/>
                  </w14:solidFill>
                </w14:textFill>
              </w:rPr>
              <w:t>套、试衣间</w:t>
            </w:r>
            <w:r>
              <w:rPr>
                <w:rFonts w:ascii="Times New Roman" w:hAnsi="Times New Roman"/>
                <w:color w:val="000000" w:themeColor="text1"/>
                <w:szCs w:val="21"/>
                <w14:textFill>
                  <w14:solidFill>
                    <w14:schemeClr w14:val="tx1"/>
                  </w14:solidFill>
                </w14:textFill>
              </w:rPr>
              <w:t>2</w:t>
            </w:r>
            <w:r>
              <w:rPr>
                <w:rFonts w:ascii="Times New Roman" w:hAnsi="宋体"/>
                <w:color w:val="000000" w:themeColor="text1"/>
                <w:szCs w:val="21"/>
                <w14:textFill>
                  <w14:solidFill>
                    <w14:schemeClr w14:val="tx1"/>
                  </w14:solidFill>
                </w14:textFill>
              </w:rPr>
              <w:t>套，服务次数</w:t>
            </w:r>
            <w:r>
              <w:rPr>
                <w:rFonts w:hint="eastAsia" w:ascii="Times New Roman" w:hAnsi="Times New Roman"/>
                <w:color w:val="000000" w:themeColor="text1"/>
                <w:szCs w:val="21"/>
                <w:lang w:val="en-US" w:eastAsia="zh-CN"/>
                <w14:textFill>
                  <w14:solidFill>
                    <w14:schemeClr w14:val="tx1"/>
                  </w14:solidFill>
                </w14:textFill>
              </w:rPr>
              <w:t>2</w:t>
            </w:r>
            <w:r>
              <w:rPr>
                <w:rFonts w:hint="eastAsia" w:ascii="Times New Roman" w:hAnsi="Times New Roman"/>
                <w:color w:val="000000" w:themeColor="text1"/>
                <w:szCs w:val="21"/>
                <w14:textFill>
                  <w14:solidFill>
                    <w14:schemeClr w14:val="tx1"/>
                  </w14:solidFill>
                </w14:textFill>
              </w:rPr>
              <w:t>次</w:t>
            </w:r>
            <w:r>
              <w:rPr>
                <w:rFonts w:ascii="Times New Roman" w:hAnsi="宋体"/>
                <w:color w:val="000000" w:themeColor="text1"/>
                <w:szCs w:val="21"/>
                <w14:textFill>
                  <w14:solidFill>
                    <w14:schemeClr w14:val="tx1"/>
                  </w14:solidFill>
                </w14:textFill>
              </w:rPr>
              <w:t>，围板材料由采购人提供。</w:t>
            </w:r>
          </w:p>
          <w:p>
            <w:pPr>
              <w:spacing w:line="360" w:lineRule="auto"/>
              <w:rPr>
                <w:rFonts w:hint="eastAsia" w:ascii="Times New Roman" w:hAnsi="Times New Roman"/>
                <w:color w:val="000000" w:themeColor="text1"/>
                <w:kern w:val="0"/>
                <w:szCs w:val="21"/>
                <w:lang w:val="en-US" w:eastAsia="zh-CN"/>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6</w:t>
            </w:r>
            <w:r>
              <w:rPr>
                <w:rFonts w:ascii="Times New Roman" w:hAnsi="宋体"/>
                <w:color w:val="000000" w:themeColor="text1"/>
                <w:szCs w:val="21"/>
                <w14:textFill>
                  <w14:solidFill>
                    <w14:schemeClr w14:val="tx1"/>
                  </w14:solidFill>
                </w14:textFill>
              </w:rPr>
              <w:t>）</w:t>
            </w:r>
            <w:r>
              <w:rPr>
                <w:rFonts w:hint="eastAsia" w:ascii="Times New Roman" w:hAnsi="Times New Roman"/>
                <w:color w:val="000000" w:themeColor="text1"/>
                <w:kern w:val="0"/>
                <w:szCs w:val="21"/>
                <w:lang w:val="en-US" w:eastAsia="zh-CN"/>
                <w14:textFill>
                  <w14:solidFill>
                    <w14:schemeClr w14:val="tx1"/>
                  </w14:solidFill>
                </w14:textFill>
              </w:rPr>
              <w:t>球馆房屋高度约12米，</w:t>
            </w:r>
            <w:r>
              <w:rPr>
                <w:rFonts w:ascii="Times New Roman" w:hAnsi="Times New Roman"/>
                <w:color w:val="000000" w:themeColor="text1"/>
                <w:szCs w:val="21"/>
                <w14:textFill>
                  <w14:solidFill>
                    <w14:schemeClr w14:val="tx1"/>
                  </w14:solidFill>
                </w14:textFill>
              </w:rPr>
              <w:t>9</w:t>
            </w: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10</w:t>
            </w: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11</w:t>
            </w:r>
            <w:r>
              <w:rPr>
                <w:rFonts w:ascii="Times New Roman" w:hAnsi="宋体"/>
                <w:color w:val="000000" w:themeColor="text1"/>
                <w:szCs w:val="21"/>
                <w14:textFill>
                  <w14:solidFill>
                    <w14:schemeClr w14:val="tx1"/>
                  </w14:solidFill>
                </w14:textFill>
              </w:rPr>
              <w:t>号</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个球馆</w:t>
            </w:r>
            <w:r>
              <w:rPr>
                <w:rFonts w:hint="eastAsia" w:ascii="Times New Roman" w:hAnsi="Times New Roman"/>
                <w:color w:val="000000" w:themeColor="text1"/>
                <w:kern w:val="0"/>
                <w:szCs w:val="21"/>
                <w:lang w:val="en-US" w:eastAsia="zh-CN"/>
                <w14:textFill>
                  <w14:solidFill>
                    <w14:schemeClr w14:val="tx1"/>
                  </w14:solidFill>
                </w14:textFill>
              </w:rPr>
              <w:t>窗帘拆装需要登高作业，从安全角度出发，不建议采用龙门架登高作业，投标报价应考虑升降平台、升降机等工具费用。</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7</w:t>
            </w: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9</w:t>
            </w:r>
            <w:r>
              <w:rPr>
                <w:rFonts w:ascii="Times New Roman" w:hAnsi="宋体"/>
                <w:color w:val="000000" w:themeColor="text1"/>
                <w:szCs w:val="21"/>
                <w14:textFill>
                  <w14:solidFill>
                    <w14:schemeClr w14:val="tx1"/>
                  </w14:solidFill>
                </w14:textFill>
              </w:rPr>
              <w:t>月份东盟博览会时需将</w:t>
            </w:r>
            <w:r>
              <w:rPr>
                <w:rFonts w:ascii="Times New Roman" w:hAnsi="Times New Roman"/>
                <w:color w:val="000000" w:themeColor="text1"/>
                <w:szCs w:val="21"/>
                <w14:textFill>
                  <w14:solidFill>
                    <w14:schemeClr w14:val="tx1"/>
                  </w14:solidFill>
                </w14:textFill>
              </w:rPr>
              <w:t>9</w:t>
            </w: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10</w:t>
            </w: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11</w:t>
            </w:r>
            <w:r>
              <w:rPr>
                <w:rFonts w:ascii="Times New Roman" w:hAnsi="宋体"/>
                <w:color w:val="000000" w:themeColor="text1"/>
                <w:szCs w:val="21"/>
                <w14:textFill>
                  <w14:solidFill>
                    <w14:schemeClr w14:val="tx1"/>
                  </w14:solidFill>
                </w14:textFill>
              </w:rPr>
              <w:t>号</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个球馆拆除的地胶、球网、窗帘、服务台、试衣间围板等物品搬运</w:t>
            </w:r>
            <w:r>
              <w:rPr>
                <w:rFonts w:hAnsi="宋体"/>
                <w:color w:val="000000" w:themeColor="text1"/>
                <w:szCs w:val="21"/>
                <w14:textFill>
                  <w14:solidFill>
                    <w14:schemeClr w14:val="tx1"/>
                  </w14:solidFill>
                </w14:textFill>
              </w:rPr>
              <w:t>至会展中心</w:t>
            </w:r>
            <w:r>
              <w:rPr>
                <w:rFonts w:ascii="Times New Roman" w:hAnsi="Times New Roman"/>
                <w:color w:val="000000" w:themeColor="text1"/>
                <w:szCs w:val="21"/>
                <w14:textFill>
                  <w14:solidFill>
                    <w14:schemeClr w14:val="tx1"/>
                  </w14:solidFill>
                </w14:textFill>
              </w:rPr>
              <w:t>A</w:t>
            </w:r>
            <w:r>
              <w:rPr>
                <w:color w:val="000000" w:themeColor="text1"/>
                <w:szCs w:val="21"/>
                <w14:textFill>
                  <w14:solidFill>
                    <w14:schemeClr w14:val="tx1"/>
                  </w14:solidFill>
                </w14:textFill>
              </w:rPr>
              <w:t>-E</w:t>
            </w:r>
            <w:r>
              <w:rPr>
                <w:rFonts w:ascii="Times New Roman" w:hAnsi="宋体"/>
                <w:color w:val="000000" w:themeColor="text1"/>
                <w:szCs w:val="21"/>
                <w14:textFill>
                  <w14:solidFill>
                    <w14:schemeClr w14:val="tx1"/>
                  </w14:solidFill>
                </w14:textFill>
              </w:rPr>
              <w:t>区</w:t>
            </w:r>
            <w:r>
              <w:rPr>
                <w:rFonts w:hAnsi="宋体"/>
                <w:color w:val="000000" w:themeColor="text1"/>
                <w:szCs w:val="21"/>
                <w14:textFill>
                  <w14:solidFill>
                    <w14:schemeClr w14:val="tx1"/>
                  </w14:solidFill>
                </w14:textFill>
              </w:rPr>
              <w:t>地下停车场区域范围内采购人指定地点</w:t>
            </w:r>
            <w:r>
              <w:rPr>
                <w:rFonts w:ascii="Times New Roman" w:hAnsi="宋体"/>
                <w:color w:val="000000" w:themeColor="text1"/>
                <w:szCs w:val="21"/>
                <w14:textFill>
                  <w14:solidFill>
                    <w14:schemeClr w14:val="tx1"/>
                  </w14:solidFill>
                </w14:textFill>
              </w:rPr>
              <w:t>，</w:t>
            </w:r>
            <w:r>
              <w:rPr>
                <w:rFonts w:hint="eastAsia" w:ascii="Times New Roman" w:hAnsi="宋体"/>
                <w:color w:val="000000" w:themeColor="text1"/>
                <w:szCs w:val="21"/>
                <w:lang w:eastAsia="zh-CN"/>
                <w14:textFill>
                  <w14:solidFill>
                    <w14:schemeClr w14:val="tx1"/>
                  </w14:solidFill>
                </w14:textFill>
              </w:rPr>
              <w:t>投标报价应考虑运输工具的投入成本</w:t>
            </w:r>
            <w:r>
              <w:rPr>
                <w:rFonts w:ascii="Times New Roman" w:hAnsi="Times New Roman"/>
                <w:color w:val="000000" w:themeColor="text1"/>
                <w:szCs w:val="21"/>
                <w14:textFill>
                  <w14:solidFill>
                    <w14:schemeClr w14:val="tx1"/>
                  </w14:solidFill>
                </w14:textFill>
              </w:rPr>
              <w:t>(</w:t>
            </w:r>
            <w:r>
              <w:rPr>
                <w:rFonts w:ascii="Times New Roman" w:hAnsi="宋体"/>
                <w:color w:val="000000" w:themeColor="text1"/>
                <w:szCs w:val="21"/>
                <w14:textFill>
                  <w14:solidFill>
                    <w14:schemeClr w14:val="tx1"/>
                  </w14:solidFill>
                </w14:textFill>
              </w:rPr>
              <w:t>如东博会时间推迟，实施时间相应延后，具体时间以采购人确定为准）。</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五、报价要求与结算方法：</w:t>
            </w:r>
          </w:p>
          <w:p>
            <w:pPr>
              <w:spacing w:line="360" w:lineRule="auto"/>
              <w:jc w:val="left"/>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w:t>
            </w:r>
            <w:r>
              <w:rPr>
                <w:rFonts w:ascii="Times New Roman"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成交</w:t>
            </w:r>
            <w:r>
              <w:rPr>
                <w:rFonts w:ascii="Times New Roman" w:hAnsi="宋体"/>
                <w:color w:val="000000" w:themeColor="text1"/>
                <w:szCs w:val="21"/>
                <w14:textFill>
                  <w14:solidFill>
                    <w14:schemeClr w14:val="tx1"/>
                  </w14:solidFill>
                </w14:textFill>
              </w:rPr>
              <w:t>人需按采购人提供的</w:t>
            </w:r>
            <w:r>
              <w:rPr>
                <w:rFonts w:hAnsi="宋体"/>
                <w:color w:val="000000" w:themeColor="text1"/>
                <w:szCs w:val="21"/>
                <w14:textFill>
                  <w14:solidFill>
                    <w14:schemeClr w14:val="tx1"/>
                  </w14:solidFill>
                </w14:textFill>
              </w:rPr>
              <w:t>服务</w:t>
            </w:r>
            <w:r>
              <w:rPr>
                <w:rFonts w:ascii="Times New Roman" w:hAnsi="宋体"/>
                <w:color w:val="000000" w:themeColor="text1"/>
                <w:szCs w:val="21"/>
                <w14:textFill>
                  <w14:solidFill>
                    <w14:schemeClr w14:val="tx1"/>
                  </w14:solidFill>
                </w14:textFill>
              </w:rPr>
              <w:t>内容清单</w:t>
            </w:r>
            <w:r>
              <w:rPr>
                <w:rFonts w:hAnsi="宋体"/>
                <w:color w:val="000000" w:themeColor="text1"/>
                <w:szCs w:val="21"/>
                <w14:textFill>
                  <w14:solidFill>
                    <w14:schemeClr w14:val="tx1"/>
                  </w14:solidFill>
                </w14:textFill>
              </w:rPr>
              <w:t>以及项目需要投入的登高及运输设备分项报价</w:t>
            </w:r>
            <w:r>
              <w:rPr>
                <w:rFonts w:ascii="Times New Roman"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服务内容清单的</w:t>
            </w:r>
            <w:r>
              <w:rPr>
                <w:rFonts w:ascii="Times New Roman" w:hAnsi="宋体"/>
                <w:color w:val="000000" w:themeColor="text1"/>
                <w:szCs w:val="21"/>
                <w14:textFill>
                  <w14:solidFill>
                    <w14:schemeClr w14:val="tx1"/>
                  </w14:solidFill>
                </w14:textFill>
              </w:rPr>
              <w:t>项目仅供参考，结算以实际完成工作量及实际展会拆装项目</w:t>
            </w:r>
            <w:r>
              <w:rPr>
                <w:rFonts w:hint="eastAsia" w:ascii="Times New Roman" w:hAnsi="宋体"/>
                <w:color w:val="000000" w:themeColor="text1"/>
                <w:szCs w:val="21"/>
                <w14:textFill>
                  <w14:solidFill>
                    <w14:schemeClr w14:val="tx1"/>
                  </w14:solidFill>
                </w14:textFill>
              </w:rPr>
              <w:t>为准，</w:t>
            </w:r>
            <w:r>
              <w:rPr>
                <w:rFonts w:ascii="Times New Roman" w:hAnsi="宋体"/>
                <w:color w:val="000000" w:themeColor="text1"/>
                <w:szCs w:val="21"/>
                <w14:textFill>
                  <w14:solidFill>
                    <w14:schemeClr w14:val="tx1"/>
                  </w14:solidFill>
                </w14:textFill>
              </w:rPr>
              <w:t>如球馆搬迁拆装次数增加，超出合同金额部分按合同单价结算</w:t>
            </w:r>
            <w:r>
              <w:rPr>
                <w:rFonts w:hint="eastAsia" w:ascii="Times New Roman"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6" w:hRule="atLeast"/>
          <w:jc w:val="center"/>
        </w:trPr>
        <w:tc>
          <w:tcPr>
            <w:tcW w:w="599" w:type="dxa"/>
            <w:noWrap w:val="0"/>
            <w:vAlign w:val="center"/>
          </w:tcPr>
          <w:p>
            <w:pPr>
              <w:widowControl/>
              <w:spacing w:line="400" w:lineRule="exact"/>
              <w:jc w:val="center"/>
              <w:rPr>
                <w:rFonts w:ascii="Times New Roman" w:hAnsi="Times New Roman"/>
                <w:color w:val="000000" w:themeColor="text1"/>
                <w:kern w:val="0"/>
                <w:szCs w:val="21"/>
                <w14:textFill>
                  <w14:solidFill>
                    <w14:schemeClr w14:val="tx1"/>
                  </w14:solidFill>
                </w14:textFill>
              </w:rPr>
            </w:pPr>
            <w:r>
              <w:rPr>
                <w:rFonts w:ascii="Times New Roman" w:hAnsi="宋体"/>
                <w:color w:val="000000" w:themeColor="text1"/>
                <w:kern w:val="0"/>
                <w:szCs w:val="21"/>
                <w14:textFill>
                  <w14:solidFill>
                    <w14:schemeClr w14:val="tx1"/>
                  </w14:solidFill>
                </w14:textFill>
              </w:rPr>
              <w:t>商务条款</w:t>
            </w:r>
          </w:p>
        </w:tc>
        <w:tc>
          <w:tcPr>
            <w:tcW w:w="8204" w:type="dxa"/>
            <w:gridSpan w:val="3"/>
            <w:noWrap w:val="0"/>
            <w:vAlign w:val="center"/>
          </w:tcPr>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一、合同签订期：自成交通知书发出之日起</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 xml:space="preserve">7  </w:t>
            </w:r>
            <w:r>
              <w:rPr>
                <w:rFonts w:ascii="Times New Roman" w:hAnsi="宋体"/>
                <w:color w:val="000000" w:themeColor="text1"/>
                <w:szCs w:val="21"/>
                <w14:textFill>
                  <w14:solidFill>
                    <w14:schemeClr w14:val="tx1"/>
                  </w14:solidFill>
                </w14:textFill>
              </w:rPr>
              <w:t>个工作日内</w:t>
            </w:r>
            <w:r>
              <w:rPr>
                <w:rFonts w:hint="eastAsia" w:ascii="Times New Roman" w:hAnsi="宋体"/>
                <w:color w:val="000000" w:themeColor="text1"/>
                <w:szCs w:val="21"/>
                <w14:textFill>
                  <w14:solidFill>
                    <w14:schemeClr w14:val="tx1"/>
                  </w14:solidFill>
                </w14:textFill>
              </w:rPr>
              <w:t>。</w:t>
            </w:r>
          </w:p>
          <w:p>
            <w:pPr>
              <w:spacing w:line="360" w:lineRule="auto"/>
              <w:ind w:left="210" w:hanging="210" w:hangingChars="100"/>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★二、提交服务成果时间：</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自合同签订之日起至服务完成并通过验收之日止，具体时间根据采购人展会需要安排</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14:textFill>
                  <w14:solidFill>
                    <w14:schemeClr w14:val="tx1"/>
                  </w14:solidFill>
                </w14:textFill>
              </w:rPr>
              <w:t>。</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三、提交服务成果地点：</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南宁国际会展中心</w:t>
            </w:r>
            <w:r>
              <w:rPr>
                <w:rFonts w:ascii="Times New Roman" w:hAnsi="Times New Roman"/>
                <w:color w:val="000000" w:themeColor="text1"/>
                <w:szCs w:val="21"/>
                <w:u w:val="single"/>
                <w14:textFill>
                  <w14:solidFill>
                    <w14:schemeClr w14:val="tx1"/>
                  </w14:solidFill>
                </w14:textFill>
              </w:rPr>
              <w:t>9</w:t>
            </w:r>
            <w:r>
              <w:rPr>
                <w:rFonts w:ascii="Times New Roman" w:hAnsi="宋体"/>
                <w:color w:val="000000" w:themeColor="text1"/>
                <w:szCs w:val="21"/>
                <w:u w:val="single"/>
                <w14:textFill>
                  <w14:solidFill>
                    <w14:schemeClr w14:val="tx1"/>
                  </w14:solidFill>
                </w14:textFill>
              </w:rPr>
              <w:t>号、</w:t>
            </w:r>
            <w:r>
              <w:rPr>
                <w:rFonts w:ascii="Times New Roman" w:hAnsi="Times New Roman"/>
                <w:color w:val="000000" w:themeColor="text1"/>
                <w:szCs w:val="21"/>
                <w:u w:val="single"/>
                <w14:textFill>
                  <w14:solidFill>
                    <w14:schemeClr w14:val="tx1"/>
                  </w14:solidFill>
                </w14:textFill>
              </w:rPr>
              <w:t>10</w:t>
            </w:r>
            <w:r>
              <w:rPr>
                <w:rFonts w:ascii="Times New Roman" w:hAnsi="宋体"/>
                <w:color w:val="000000" w:themeColor="text1"/>
                <w:szCs w:val="21"/>
                <w:u w:val="single"/>
                <w14:textFill>
                  <w14:solidFill>
                    <w14:schemeClr w14:val="tx1"/>
                  </w14:solidFill>
                </w14:textFill>
              </w:rPr>
              <w:t>号、</w:t>
            </w:r>
            <w:r>
              <w:rPr>
                <w:rFonts w:ascii="Times New Roman" w:hAnsi="Times New Roman"/>
                <w:color w:val="000000" w:themeColor="text1"/>
                <w:szCs w:val="21"/>
                <w:u w:val="single"/>
                <w14:textFill>
                  <w14:solidFill>
                    <w14:schemeClr w14:val="tx1"/>
                  </w14:solidFill>
                </w14:textFill>
              </w:rPr>
              <w:t>11</w:t>
            </w:r>
            <w:r>
              <w:rPr>
                <w:rFonts w:ascii="Times New Roman" w:hAnsi="宋体"/>
                <w:color w:val="000000" w:themeColor="text1"/>
                <w:szCs w:val="21"/>
                <w:u w:val="single"/>
                <w14:textFill>
                  <w14:solidFill>
                    <w14:schemeClr w14:val="tx1"/>
                  </w14:solidFill>
                </w14:textFill>
              </w:rPr>
              <w:t>号展厅及采购人指定仓库</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 xml:space="preserve"> </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四、售后服务要求：</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w:t>
            </w:r>
            <w:r>
              <w:rPr>
                <w:rFonts w:ascii="Times New Roman" w:hAnsi="宋体"/>
                <w:color w:val="000000" w:themeColor="text1"/>
                <w:szCs w:val="21"/>
                <w14:textFill>
                  <w14:solidFill>
                    <w14:schemeClr w14:val="tx1"/>
                  </w14:solidFill>
                </w14:textFill>
              </w:rPr>
              <w:t>、质量保证期：</w:t>
            </w:r>
            <w:r>
              <w:rPr>
                <w:rFonts w:ascii="Times New Roman" w:hAnsi="Times New Roman"/>
                <w:color w:val="000000" w:themeColor="text1"/>
                <w:szCs w:val="21"/>
                <w:u w:val="single"/>
                <w14:textFill>
                  <w14:solidFill>
                    <w14:schemeClr w14:val="tx1"/>
                  </w14:solidFill>
                </w14:textFill>
              </w:rPr>
              <w:t>1</w:t>
            </w:r>
            <w:r>
              <w:rPr>
                <w:rFonts w:ascii="Times New Roman" w:hAnsi="宋体"/>
                <w:color w:val="000000" w:themeColor="text1"/>
                <w:szCs w:val="21"/>
                <w:u w:val="single"/>
                <w14:textFill>
                  <w14:solidFill>
                    <w14:schemeClr w14:val="tx1"/>
                  </w14:solidFill>
                </w14:textFill>
              </w:rPr>
              <w:t>年</w:t>
            </w:r>
            <w:r>
              <w:rPr>
                <w:rFonts w:ascii="Times New Roman" w:hAnsi="宋体"/>
                <w:color w:val="000000" w:themeColor="text1"/>
                <w:szCs w:val="21"/>
                <w14:textFill>
                  <w14:solidFill>
                    <w14:schemeClr w14:val="tx1"/>
                  </w14:solidFill>
                </w14:textFill>
              </w:rPr>
              <w:t>（自提交服务成果并验收合格之日起计）</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w:t>
            </w:r>
            <w:r>
              <w:rPr>
                <w:rFonts w:ascii="Times New Roman" w:hAnsi="宋体"/>
                <w:color w:val="000000" w:themeColor="text1"/>
                <w:szCs w:val="21"/>
                <w14:textFill>
                  <w14:solidFill>
                    <w14:schemeClr w14:val="tx1"/>
                  </w14:solidFill>
                </w14:textFill>
              </w:rPr>
              <w:t>、在实施服务过程中因成交人原因导致物品损坏，给采购人造成损失的，成交供应商应负责修复达到正常使用状态或购买全新货物赔偿。</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、处理问题响应时间：成交人接到采购人处理问题通知后</w:t>
            </w:r>
            <w:r>
              <w:rPr>
                <w:rFonts w:ascii="Times New Roman" w:hAnsi="Times New Roman"/>
                <w:color w:val="000000" w:themeColor="text1"/>
                <w:szCs w:val="21"/>
                <w14:textFill>
                  <w14:solidFill>
                    <w14:schemeClr w14:val="tx1"/>
                  </w14:solidFill>
                </w14:textFill>
              </w:rPr>
              <w:t xml:space="preserve"> </w:t>
            </w:r>
            <w:r>
              <w:rPr>
                <w:rFonts w:ascii="Times New Roman" w:hAnsi="宋体"/>
                <w:color w:val="000000" w:themeColor="text1"/>
                <w:szCs w:val="21"/>
                <w14:textFill>
                  <w14:solidFill>
                    <w14:schemeClr w14:val="tx1"/>
                  </w14:solidFill>
                </w14:textFill>
              </w:rPr>
              <w:t>应在</w:t>
            </w:r>
            <w:r>
              <w:rPr>
                <w:rFonts w:ascii="Times New Roman" w:hAnsi="Times New Roman"/>
                <w:color w:val="000000" w:themeColor="text1"/>
                <w:szCs w:val="21"/>
                <w:u w:val="single"/>
                <w14:textFill>
                  <w14:solidFill>
                    <w14:schemeClr w14:val="tx1"/>
                  </w14:solidFill>
                </w14:textFill>
              </w:rPr>
              <w:t>2</w:t>
            </w:r>
            <w:r>
              <w:rPr>
                <w:rFonts w:ascii="Times New Roman" w:hAnsi="宋体"/>
                <w:color w:val="000000" w:themeColor="text1"/>
                <w:szCs w:val="21"/>
                <w:u w:val="single"/>
                <w14:textFill>
                  <w14:solidFill>
                    <w14:schemeClr w14:val="tx1"/>
                  </w14:solidFill>
                </w14:textFill>
              </w:rPr>
              <w:t>小时</w:t>
            </w:r>
            <w:r>
              <w:rPr>
                <w:rFonts w:ascii="Times New Roman" w:hAnsi="宋体"/>
                <w:color w:val="000000" w:themeColor="text1"/>
                <w:szCs w:val="21"/>
                <w14:textFill>
                  <w14:solidFill>
                    <w14:schemeClr w14:val="tx1"/>
                  </w14:solidFill>
                </w14:textFill>
              </w:rPr>
              <w:t>内到达采购人指定现场处理故障。</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六、其他约定。</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w:t>
            </w:r>
            <w:r>
              <w:rPr>
                <w:rFonts w:ascii="Times New Roman" w:hAnsi="宋体"/>
                <w:color w:val="000000" w:themeColor="text1"/>
                <w:szCs w:val="21"/>
                <w14:textFill>
                  <w14:solidFill>
                    <w14:schemeClr w14:val="tx1"/>
                  </w14:solidFill>
                </w14:textFill>
              </w:rPr>
              <w:t>、报价必须含以下部分，包括但不限于：</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w:t>
            </w:r>
            <w:r>
              <w:rPr>
                <w:rFonts w:ascii="Times New Roman" w:hAnsi="宋体"/>
                <w:color w:val="000000" w:themeColor="text1"/>
                <w:szCs w:val="21"/>
                <w14:textFill>
                  <w14:solidFill>
                    <w14:schemeClr w14:val="tx1"/>
                  </w14:solidFill>
                </w14:textFill>
              </w:rPr>
              <w:t>）工人工资、加班费、搬运费、装卸费、安装费；</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w:t>
            </w:r>
            <w:r>
              <w:rPr>
                <w:rFonts w:ascii="Times New Roman" w:hAnsi="宋体"/>
                <w:color w:val="000000" w:themeColor="text1"/>
                <w:szCs w:val="21"/>
                <w14:textFill>
                  <w14:solidFill>
                    <w14:schemeClr w14:val="tx1"/>
                  </w14:solidFill>
                </w14:textFill>
              </w:rPr>
              <w:t>）升降机租赁费、拖车租赁费、叉车租赁费以及必要的专用工具租赁费用；</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）必要的保险费用和各项税金；</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w:t>
            </w:r>
            <w:r>
              <w:rPr>
                <w:rFonts w:ascii="Times New Roman" w:hAnsi="宋体"/>
                <w:color w:val="000000" w:themeColor="text1"/>
                <w:szCs w:val="21"/>
                <w14:textFill>
                  <w14:solidFill>
                    <w14:schemeClr w14:val="tx1"/>
                  </w14:solidFill>
                </w14:textFill>
              </w:rPr>
              <w:t>、付款方式：本项目无预付款，成交人需提交服务成果并经采购人验收合格后提供增值税专用发票，采购人按实际工作完成情况每半年支付一次合同款（以双方签字确认实际工作量所对应费用支付相应的合同款</w:t>
            </w:r>
            <w:r>
              <w:rPr>
                <w:rFonts w:hint="eastAsia" w:ascii="Times New Roman" w:hAnsi="宋体"/>
                <w:color w:val="000000" w:themeColor="text1"/>
                <w:szCs w:val="21"/>
                <w:lang w:val="en-US" w:eastAsia="zh-CN"/>
                <w14:textFill>
                  <w14:solidFill>
                    <w14:schemeClr w14:val="tx1"/>
                  </w14:solidFill>
                </w14:textFill>
              </w:rPr>
              <w:t>,</w:t>
            </w:r>
            <w:r>
              <w:rPr>
                <w:rFonts w:ascii="Times New Roman" w:hAnsi="宋体"/>
                <w:color w:val="000000" w:themeColor="text1"/>
                <w:szCs w:val="21"/>
                <w14:textFill>
                  <w14:solidFill>
                    <w14:schemeClr w14:val="tx1"/>
                  </w14:solidFill>
                </w14:textFill>
              </w:rPr>
              <w:t>如球馆搬迁拆装次数增加，超出合同金额部分按合同单价结算）。</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、违约责任：</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w:t>
            </w:r>
            <w:r>
              <w:rPr>
                <w:rFonts w:ascii="Times New Roman" w:hAnsi="宋体"/>
                <w:color w:val="000000" w:themeColor="text1"/>
                <w:szCs w:val="21"/>
                <w14:textFill>
                  <w14:solidFill>
                    <w14:schemeClr w14:val="tx1"/>
                  </w14:solidFill>
                </w14:textFill>
              </w:rPr>
              <w:t>）在合同履约期内成交人不服从采购人工作安排，无法在限定时间内完成工作任务或存在服务质量问题不按采购人要求进行限期整改的，采购人有权采取补救措施并向中标人追偿损失；</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w:t>
            </w:r>
            <w:r>
              <w:rPr>
                <w:rFonts w:ascii="Times New Roman" w:hAnsi="宋体"/>
                <w:color w:val="000000" w:themeColor="text1"/>
                <w:szCs w:val="21"/>
                <w14:textFill>
                  <w14:solidFill>
                    <w14:schemeClr w14:val="tx1"/>
                  </w14:solidFill>
                </w14:textFill>
              </w:rPr>
              <w:t>）成交人无法按时履约次数累计满三次的，采购人有权单方面解除合同。</w:t>
            </w:r>
          </w:p>
          <w:p>
            <w:pPr>
              <w:pStyle w:val="25"/>
              <w:spacing w:line="360" w:lineRule="auto"/>
              <w:rPr>
                <w:rFonts w:ascii="Times New Roman" w:hAnsi="Times New Roman"/>
                <w:color w:val="000000" w:themeColor="text1"/>
                <w:sz w:val="21"/>
                <w:szCs w:val="21"/>
                <w:lang w:val="en-US" w:eastAsia="zh-CN"/>
                <w14:textFill>
                  <w14:solidFill>
                    <w14:schemeClr w14:val="tx1"/>
                  </w14:solidFill>
                </w14:textFill>
              </w:rPr>
            </w:pPr>
            <w:r>
              <w:rPr>
                <w:rFonts w:ascii="Times New Roman" w:hAnsi="Times New Roman"/>
                <w:color w:val="000000" w:themeColor="text1"/>
                <w:sz w:val="21"/>
                <w:szCs w:val="21"/>
                <w:lang w:val="en-US" w:eastAsia="zh-CN"/>
                <w14:textFill>
                  <w14:solidFill>
                    <w14:schemeClr w14:val="tx1"/>
                  </w14:solidFill>
                </w14:textFill>
              </w:rPr>
              <w:t>4</w:t>
            </w:r>
            <w:r>
              <w:rPr>
                <w:rFonts w:ascii="Times New Roman" w:hAnsi="宋体"/>
                <w:color w:val="000000" w:themeColor="text1"/>
                <w:kern w:val="2"/>
                <w:sz w:val="21"/>
                <w:szCs w:val="21"/>
                <w:lang w:val="en-US" w:eastAsia="zh-CN"/>
                <w14:textFill>
                  <w14:solidFill>
                    <w14:schemeClr w14:val="tx1"/>
                  </w14:solidFill>
                </w14:textFill>
              </w:rPr>
              <w:t>、</w:t>
            </w:r>
            <w:r>
              <w:rPr>
                <w:rFonts w:ascii="Times New Roman" w:hAnsi="宋体"/>
                <w:color w:val="000000" w:themeColor="text1"/>
                <w:sz w:val="21"/>
                <w:szCs w:val="21"/>
                <w:lang w:val="en-US" w:eastAsia="zh-CN"/>
                <w14:textFill>
                  <w14:solidFill>
                    <w14:schemeClr w14:val="tx1"/>
                  </w14:solidFill>
                </w14:textFill>
              </w:rPr>
              <w:t>成交人</w:t>
            </w:r>
            <w:r>
              <w:rPr>
                <w:rFonts w:ascii="Times New Roman" w:hAnsi="宋体"/>
                <w:color w:val="000000" w:themeColor="text1"/>
                <w:kern w:val="2"/>
                <w:sz w:val="21"/>
                <w:szCs w:val="21"/>
                <w:lang w:val="en-US" w:eastAsia="zh-CN"/>
                <w14:textFill>
                  <w14:solidFill>
                    <w14:schemeClr w14:val="tx1"/>
                  </w14:solidFill>
                </w14:textFill>
              </w:rPr>
              <w:t>进行现场搬迁拆、装时，应提前告知采购人，并须做好现场的安全防范和警示措施，若因成交人搬迁拆、装工作有不当之处，造成了人员意外伤害，或引起投诉、起诉等，由成交人承担所有法律责任。</w:t>
            </w:r>
          </w:p>
          <w:p>
            <w:pPr>
              <w:spacing w:line="360" w:lineRule="auto"/>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w:t>
            </w:r>
            <w:r>
              <w:rPr>
                <w:rFonts w:ascii="Times New Roman" w:hAnsi="宋体"/>
                <w:color w:val="000000" w:themeColor="text1"/>
                <w:szCs w:val="21"/>
                <w14:textFill>
                  <w14:solidFill>
                    <w14:schemeClr w14:val="tx1"/>
                  </w14:solidFill>
                </w14:textFill>
              </w:rPr>
              <w:t>、竞标人可自行前往采购人现场实地勘查，所产生的费用和风险由竞标人自行负责。</w:t>
            </w:r>
          </w:p>
        </w:tc>
      </w:tr>
    </w:tbl>
    <w:p>
      <w:pPr>
        <w:widowControl/>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p>
    <w:p>
      <w:pPr>
        <w:widowControl/>
        <w:jc w:val="left"/>
        <w:rPr>
          <w:rFonts w:hint="eastAsia"/>
          <w:color w:val="000000" w:themeColor="text1"/>
          <w:highlight w:val="none"/>
          <w:lang w:val="en-US" w:eastAsia="zh-CN"/>
          <w14:textFill>
            <w14:solidFill>
              <w14:schemeClr w14:val="tx1"/>
            </w14:solidFill>
          </w14:textFill>
        </w:rPr>
      </w:pPr>
    </w:p>
    <w:p>
      <w:pPr>
        <w:ind w:firstLine="620" w:firstLineChars="294"/>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附件：报价清单</w:t>
      </w:r>
    </w:p>
    <w:tbl>
      <w:tblPr>
        <w:tblStyle w:val="49"/>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17"/>
        <w:gridCol w:w="1350"/>
        <w:gridCol w:w="1242"/>
        <w:gridCol w:w="3720"/>
        <w:gridCol w:w="723"/>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序号</w:t>
            </w:r>
          </w:p>
        </w:tc>
        <w:tc>
          <w:tcPr>
            <w:tcW w:w="917" w:type="dxa"/>
            <w:noWrap w:val="0"/>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项目</w:t>
            </w:r>
          </w:p>
        </w:tc>
        <w:tc>
          <w:tcPr>
            <w:tcW w:w="1350" w:type="dxa"/>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预计展会时间</w:t>
            </w:r>
          </w:p>
        </w:tc>
        <w:tc>
          <w:tcPr>
            <w:tcW w:w="4962" w:type="dxa"/>
            <w:gridSpan w:val="2"/>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工作内容名称</w:t>
            </w:r>
          </w:p>
        </w:tc>
        <w:tc>
          <w:tcPr>
            <w:tcW w:w="723" w:type="dxa"/>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数量</w:t>
            </w:r>
          </w:p>
        </w:tc>
        <w:tc>
          <w:tcPr>
            <w:tcW w:w="1177" w:type="dxa"/>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Merge w:val="restart"/>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w:t>
            </w:r>
          </w:p>
        </w:tc>
        <w:tc>
          <w:tcPr>
            <w:tcW w:w="917" w:type="dxa"/>
            <w:vMerge w:val="restart"/>
            <w:noWrap w:val="0"/>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第九届南宁国际汽车展球馆搬迁、安装</w:t>
            </w:r>
          </w:p>
        </w:tc>
        <w:tc>
          <w:tcPr>
            <w:tcW w:w="1350" w:type="dxa"/>
            <w:vMerge w:val="restart"/>
            <w:noWrap/>
            <w:vAlign w:val="center"/>
          </w:tcPr>
          <w:p>
            <w:pPr>
              <w:widowControl/>
              <w:adjustRightInd w:val="0"/>
              <w:snapToGrid w:val="0"/>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6月8</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15日</w:t>
            </w:r>
          </w:p>
        </w:tc>
        <w:tc>
          <w:tcPr>
            <w:tcW w:w="1242" w:type="dxa"/>
            <w:noWrap/>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塑胶地板拆除与安装</w:t>
            </w:r>
          </w:p>
        </w:tc>
        <w:tc>
          <w:tcPr>
            <w:tcW w:w="3720" w:type="dxa"/>
            <w:noWrap w:val="0"/>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拆除9号气排球馆、10号和11号两个羽毛球馆3个球馆48片塑胶地板至仓库存放，展会结束重新搬运回3个球馆安装</w:t>
            </w:r>
          </w:p>
        </w:tc>
        <w:tc>
          <w:tcPr>
            <w:tcW w:w="723" w:type="dxa"/>
            <w:noWrap/>
            <w:vAlign w:val="center"/>
          </w:tcPr>
          <w:p>
            <w:pPr>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t>48块</w:t>
            </w:r>
          </w:p>
        </w:tc>
        <w:tc>
          <w:tcPr>
            <w:tcW w:w="1177" w:type="dxa"/>
            <w:vMerge w:val="restart"/>
            <w:noWrap w:val="0"/>
            <w:vAlign w:val="center"/>
          </w:tcPr>
          <w:p>
            <w:pPr>
              <w:adjustRightInd w:val="0"/>
              <w:snapToGrid w:val="0"/>
              <w:jc w:val="left"/>
              <w:rPr>
                <w:rFonts w:hint="eastAsia" w:ascii="宋体" w:hAnsi="宋体" w:eastAsia="宋体"/>
                <w:color w:val="000000" w:themeColor="text1"/>
                <w:kern w:val="0"/>
                <w:szCs w:val="21"/>
                <w:lang w:eastAsia="zh-CN"/>
                <w14:textFill>
                  <w14:solidFill>
                    <w14:schemeClr w14:val="tx1"/>
                  </w14:solidFill>
                </w14:textFill>
              </w:rPr>
            </w:pPr>
            <w:r>
              <w:rPr>
                <w:rFonts w:hint="eastAsia" w:hAnsi="宋体"/>
                <w:color w:val="000000" w:themeColor="text1"/>
                <w:szCs w:val="21"/>
                <w:shd w:val="clear" w:color="auto" w:fill="auto"/>
                <w:lang w:eastAsia="zh-CN"/>
                <w14:textFill>
                  <w14:solidFill>
                    <w14:schemeClr w14:val="tx1"/>
                  </w14:solidFill>
                </w14:textFill>
              </w:rPr>
              <w:t>展会</w:t>
            </w:r>
            <w:r>
              <w:rPr>
                <w:rFonts w:ascii="Times New Roman" w:hAnsi="宋体"/>
                <w:color w:val="000000" w:themeColor="text1"/>
                <w:szCs w:val="21"/>
                <w:shd w:val="clear" w:color="auto" w:fill="auto"/>
                <w14:textFill>
                  <w14:solidFill>
                    <w14:schemeClr w14:val="tx1"/>
                  </w14:solidFill>
                </w14:textFill>
              </w:rPr>
              <w:t>项目仅供</w:t>
            </w:r>
            <w:r>
              <w:rPr>
                <w:rFonts w:hint="eastAsia" w:hAnsi="宋体"/>
                <w:color w:val="000000" w:themeColor="text1"/>
                <w:szCs w:val="21"/>
                <w:shd w:val="clear" w:color="auto" w:fill="auto"/>
                <w:lang w:eastAsia="zh-CN"/>
                <w14:textFill>
                  <w14:solidFill>
                    <w14:schemeClr w14:val="tx1"/>
                  </w14:solidFill>
                </w14:textFill>
              </w:rPr>
              <w:t>参</w:t>
            </w:r>
            <w:r>
              <w:rPr>
                <w:rFonts w:ascii="Times New Roman" w:hAnsi="宋体"/>
                <w:color w:val="000000" w:themeColor="text1"/>
                <w:szCs w:val="21"/>
                <w:shd w:val="clear" w:color="auto" w:fill="auto"/>
                <w14:textFill>
                  <w14:solidFill>
                    <w14:schemeClr w14:val="tx1"/>
                  </w14:solidFill>
                </w14:textFill>
              </w:rPr>
              <w:t>考，结算以实际完成工作量及实际展会拆装项目</w:t>
            </w:r>
            <w:r>
              <w:rPr>
                <w:rFonts w:hint="eastAsia" w:ascii="Times New Roman" w:hAnsi="宋体"/>
                <w:color w:val="000000" w:themeColor="text1"/>
                <w:szCs w:val="21"/>
                <w:shd w:val="clear" w:color="auto" w:fill="auto"/>
                <w14:textFill>
                  <w14:solidFill>
                    <w14:schemeClr w14:val="tx1"/>
                  </w14:solidFill>
                </w14:textFill>
              </w:rPr>
              <w:t>为准</w:t>
            </w:r>
            <w:r>
              <w:rPr>
                <w:rFonts w:hint="eastAsia" w:hAnsi="宋体"/>
                <w:color w:val="000000" w:themeColor="text1"/>
                <w:szCs w:val="21"/>
                <w:shd w:val="clear" w:color="auto" w:fill="auto"/>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p>
        </w:tc>
        <w:tc>
          <w:tcPr>
            <w:tcW w:w="917" w:type="dxa"/>
            <w:vMerge w:val="continue"/>
            <w:noWrap w:val="0"/>
            <w:vAlign w:val="top"/>
          </w:tcPr>
          <w:p>
            <w:pPr>
              <w:widowControl/>
              <w:adjustRightInd w:val="0"/>
              <w:snapToGrid w:val="0"/>
              <w:jc w:val="left"/>
              <w:rPr>
                <w:rFonts w:ascii="宋体" w:hAnsi="宋体"/>
                <w:color w:val="000000" w:themeColor="text1"/>
                <w:kern w:val="0"/>
                <w:szCs w:val="21"/>
                <w14:textFill>
                  <w14:solidFill>
                    <w14:schemeClr w14:val="tx1"/>
                  </w14:solidFill>
                </w14:textFill>
              </w:rPr>
            </w:pPr>
          </w:p>
        </w:tc>
        <w:tc>
          <w:tcPr>
            <w:tcW w:w="1350" w:type="dxa"/>
            <w:vMerge w:val="continue"/>
            <w:noWrap/>
            <w:vAlign w:val="center"/>
          </w:tcPr>
          <w:p>
            <w:pPr>
              <w:widowControl/>
              <w:adjustRightInd w:val="0"/>
              <w:snapToGrid w:val="0"/>
              <w:jc w:val="left"/>
              <w:rPr>
                <w:rFonts w:ascii="宋体" w:hAnsi="宋体"/>
                <w:color w:val="000000" w:themeColor="text1"/>
                <w:kern w:val="0"/>
                <w:szCs w:val="21"/>
                <w14:textFill>
                  <w14:solidFill>
                    <w14:schemeClr w14:val="tx1"/>
                  </w14:solidFill>
                </w14:textFill>
              </w:rPr>
            </w:pPr>
          </w:p>
        </w:tc>
        <w:tc>
          <w:tcPr>
            <w:tcW w:w="1242" w:type="dxa"/>
            <w:noWrap/>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网柱撤离与安装</w:t>
            </w:r>
          </w:p>
        </w:tc>
        <w:tc>
          <w:tcPr>
            <w:tcW w:w="3720" w:type="dxa"/>
            <w:noWrap w:val="0"/>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拆除9号气排球馆、10号和11号两个羽毛球馆3个球馆48套网柱至仓库存放，展会结束重新搬运回3个球馆安装</w:t>
            </w:r>
          </w:p>
        </w:tc>
        <w:tc>
          <w:tcPr>
            <w:tcW w:w="723" w:type="dxa"/>
            <w:noWrap/>
            <w:vAlign w:val="center"/>
          </w:tcPr>
          <w:p>
            <w:pPr>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48套</w:t>
            </w:r>
          </w:p>
        </w:tc>
        <w:tc>
          <w:tcPr>
            <w:tcW w:w="1177" w:type="dxa"/>
            <w:vMerge w:val="continue"/>
            <w:noWrap w:val="0"/>
            <w:vAlign w:val="center"/>
          </w:tcPr>
          <w:p>
            <w:pPr>
              <w:adjustRightInd w:val="0"/>
              <w:snapToGrid w:val="0"/>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p>
        </w:tc>
        <w:tc>
          <w:tcPr>
            <w:tcW w:w="917" w:type="dxa"/>
            <w:vMerge w:val="continue"/>
            <w:noWrap w:val="0"/>
            <w:vAlign w:val="top"/>
          </w:tcPr>
          <w:p>
            <w:pPr>
              <w:widowControl/>
              <w:adjustRightInd w:val="0"/>
              <w:snapToGrid w:val="0"/>
              <w:jc w:val="left"/>
              <w:rPr>
                <w:rFonts w:ascii="宋体" w:hAnsi="宋体"/>
                <w:color w:val="000000" w:themeColor="text1"/>
                <w:kern w:val="0"/>
                <w:szCs w:val="21"/>
                <w14:textFill>
                  <w14:solidFill>
                    <w14:schemeClr w14:val="tx1"/>
                  </w14:solidFill>
                </w14:textFill>
              </w:rPr>
            </w:pPr>
          </w:p>
        </w:tc>
        <w:tc>
          <w:tcPr>
            <w:tcW w:w="1350" w:type="dxa"/>
            <w:vMerge w:val="continue"/>
            <w:noWrap/>
            <w:vAlign w:val="center"/>
          </w:tcPr>
          <w:p>
            <w:pPr>
              <w:widowControl/>
              <w:adjustRightInd w:val="0"/>
              <w:snapToGrid w:val="0"/>
              <w:jc w:val="left"/>
              <w:rPr>
                <w:rFonts w:ascii="宋体" w:hAnsi="宋体"/>
                <w:color w:val="000000" w:themeColor="text1"/>
                <w:kern w:val="0"/>
                <w:szCs w:val="21"/>
                <w14:textFill>
                  <w14:solidFill>
                    <w14:schemeClr w14:val="tx1"/>
                  </w14:solidFill>
                </w14:textFill>
              </w:rPr>
            </w:pPr>
          </w:p>
        </w:tc>
        <w:tc>
          <w:tcPr>
            <w:tcW w:w="1242" w:type="dxa"/>
            <w:noWrap/>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遮光窗帘布拆运与重新安装</w:t>
            </w:r>
          </w:p>
        </w:tc>
        <w:tc>
          <w:tcPr>
            <w:tcW w:w="3720" w:type="dxa"/>
            <w:noWrap w:val="0"/>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拆除9号气排球馆、10号和11号两个羽毛球馆遮光窗帘布搬运仓库存放，展会结束搬运回3个球馆安装共5350平方米</w:t>
            </w:r>
          </w:p>
        </w:tc>
        <w:tc>
          <w:tcPr>
            <w:tcW w:w="723" w:type="dxa"/>
            <w:noWrap/>
            <w:vAlign w:val="center"/>
          </w:tcPr>
          <w:p>
            <w:pPr>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3套</w:t>
            </w:r>
          </w:p>
        </w:tc>
        <w:tc>
          <w:tcPr>
            <w:tcW w:w="1177" w:type="dxa"/>
            <w:vMerge w:val="continue"/>
            <w:noWrap w:val="0"/>
            <w:vAlign w:val="center"/>
          </w:tcPr>
          <w:p>
            <w:pPr>
              <w:adjustRightInd w:val="0"/>
              <w:snapToGrid w:val="0"/>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p>
        </w:tc>
        <w:tc>
          <w:tcPr>
            <w:tcW w:w="917" w:type="dxa"/>
            <w:vMerge w:val="continue"/>
            <w:noWrap w:val="0"/>
            <w:vAlign w:val="top"/>
          </w:tcPr>
          <w:p>
            <w:pPr>
              <w:widowControl/>
              <w:adjustRightInd w:val="0"/>
              <w:snapToGrid w:val="0"/>
              <w:jc w:val="left"/>
              <w:rPr>
                <w:rFonts w:ascii="宋体" w:hAnsi="宋体"/>
                <w:color w:val="000000" w:themeColor="text1"/>
                <w:kern w:val="0"/>
                <w:szCs w:val="21"/>
                <w14:textFill>
                  <w14:solidFill>
                    <w14:schemeClr w14:val="tx1"/>
                  </w14:solidFill>
                </w14:textFill>
              </w:rPr>
            </w:pPr>
          </w:p>
        </w:tc>
        <w:tc>
          <w:tcPr>
            <w:tcW w:w="1350" w:type="dxa"/>
            <w:vMerge w:val="continue"/>
            <w:noWrap/>
            <w:vAlign w:val="center"/>
          </w:tcPr>
          <w:p>
            <w:pPr>
              <w:widowControl/>
              <w:adjustRightInd w:val="0"/>
              <w:snapToGrid w:val="0"/>
              <w:jc w:val="left"/>
              <w:rPr>
                <w:rFonts w:ascii="宋体" w:hAnsi="宋体"/>
                <w:color w:val="000000" w:themeColor="text1"/>
                <w:kern w:val="0"/>
                <w:szCs w:val="21"/>
                <w14:textFill>
                  <w14:solidFill>
                    <w14:schemeClr w14:val="tx1"/>
                  </w14:solidFill>
                </w14:textFill>
              </w:rPr>
            </w:pPr>
          </w:p>
        </w:tc>
        <w:tc>
          <w:tcPr>
            <w:tcW w:w="1242" w:type="dxa"/>
            <w:noWrap/>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球馆服务台物品设施拆运与安装</w:t>
            </w:r>
          </w:p>
        </w:tc>
        <w:tc>
          <w:tcPr>
            <w:tcW w:w="3720" w:type="dxa"/>
            <w:noWrap w:val="0"/>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拆除球馆服务台物品设施搬运至仓库存放，展会结束搬运回球馆安装</w:t>
            </w:r>
          </w:p>
        </w:tc>
        <w:tc>
          <w:tcPr>
            <w:tcW w:w="723" w:type="dxa"/>
            <w:noWrap/>
            <w:vAlign w:val="center"/>
          </w:tcPr>
          <w:p>
            <w:pPr>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2套</w:t>
            </w:r>
          </w:p>
        </w:tc>
        <w:tc>
          <w:tcPr>
            <w:tcW w:w="1177" w:type="dxa"/>
            <w:vMerge w:val="continue"/>
            <w:noWrap w:val="0"/>
            <w:vAlign w:val="center"/>
          </w:tcPr>
          <w:p>
            <w:pPr>
              <w:adjustRightInd w:val="0"/>
              <w:snapToGrid w:val="0"/>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p>
        </w:tc>
        <w:tc>
          <w:tcPr>
            <w:tcW w:w="917" w:type="dxa"/>
            <w:vMerge w:val="continue"/>
            <w:noWrap w:val="0"/>
            <w:vAlign w:val="top"/>
          </w:tcPr>
          <w:p>
            <w:pPr>
              <w:widowControl/>
              <w:adjustRightInd w:val="0"/>
              <w:snapToGrid w:val="0"/>
              <w:jc w:val="left"/>
              <w:rPr>
                <w:rFonts w:ascii="宋体" w:hAnsi="宋体"/>
                <w:color w:val="000000" w:themeColor="text1"/>
                <w:kern w:val="0"/>
                <w:szCs w:val="21"/>
                <w14:textFill>
                  <w14:solidFill>
                    <w14:schemeClr w14:val="tx1"/>
                  </w14:solidFill>
                </w14:textFill>
              </w:rPr>
            </w:pPr>
          </w:p>
        </w:tc>
        <w:tc>
          <w:tcPr>
            <w:tcW w:w="1350" w:type="dxa"/>
            <w:vMerge w:val="continue"/>
            <w:noWrap/>
            <w:vAlign w:val="center"/>
          </w:tcPr>
          <w:p>
            <w:pPr>
              <w:widowControl/>
              <w:adjustRightInd w:val="0"/>
              <w:snapToGrid w:val="0"/>
              <w:jc w:val="left"/>
              <w:rPr>
                <w:rFonts w:ascii="宋体" w:hAnsi="宋体"/>
                <w:color w:val="000000" w:themeColor="text1"/>
                <w:kern w:val="0"/>
                <w:szCs w:val="21"/>
                <w14:textFill>
                  <w14:solidFill>
                    <w14:schemeClr w14:val="tx1"/>
                  </w14:solidFill>
                </w14:textFill>
              </w:rPr>
            </w:pPr>
          </w:p>
        </w:tc>
        <w:tc>
          <w:tcPr>
            <w:tcW w:w="1242" w:type="dxa"/>
            <w:noWrap/>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服务台、试衣间围板拆运、搭建</w:t>
            </w:r>
          </w:p>
        </w:tc>
        <w:tc>
          <w:tcPr>
            <w:tcW w:w="3720" w:type="dxa"/>
            <w:noWrap w:val="0"/>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拆除球馆服务台、试衣间搬运至指定仓库，展会结束用隔层围板搭建服务台、试衣间</w:t>
            </w:r>
          </w:p>
        </w:tc>
        <w:tc>
          <w:tcPr>
            <w:tcW w:w="723" w:type="dxa"/>
            <w:noWrap/>
            <w:vAlign w:val="center"/>
          </w:tcPr>
          <w:p>
            <w:pPr>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4套</w:t>
            </w:r>
          </w:p>
        </w:tc>
        <w:tc>
          <w:tcPr>
            <w:tcW w:w="1177" w:type="dxa"/>
            <w:vMerge w:val="continue"/>
            <w:noWrap w:val="0"/>
            <w:vAlign w:val="center"/>
          </w:tcPr>
          <w:p>
            <w:pPr>
              <w:adjustRightInd w:val="0"/>
              <w:snapToGrid w:val="0"/>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w:t>
            </w:r>
          </w:p>
        </w:tc>
        <w:tc>
          <w:tcPr>
            <w:tcW w:w="917" w:type="dxa"/>
            <w:vMerge w:val="restart"/>
            <w:noWrap w:val="0"/>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中国东盟博览会球馆搬迁、安装</w:t>
            </w:r>
          </w:p>
        </w:tc>
        <w:tc>
          <w:tcPr>
            <w:tcW w:w="1350" w:type="dxa"/>
            <w:vMerge w:val="restart"/>
            <w:noWrap/>
            <w:vAlign w:val="center"/>
          </w:tcPr>
          <w:p>
            <w:pPr>
              <w:widowControl/>
              <w:adjustRightInd w:val="0"/>
              <w:snapToGrid w:val="0"/>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9月8-23日</w:t>
            </w:r>
          </w:p>
        </w:tc>
        <w:tc>
          <w:tcPr>
            <w:tcW w:w="1242" w:type="dxa"/>
            <w:noWrap/>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塑胶地板拆除与安装</w:t>
            </w:r>
          </w:p>
        </w:tc>
        <w:tc>
          <w:tcPr>
            <w:tcW w:w="3720" w:type="dxa"/>
            <w:noWrap w:val="0"/>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拆除9号气排球馆、10号和11号两个羽毛球馆3个球馆48片塑胶地板至仓库存放，展会结束重新搬运回3个球馆安装</w:t>
            </w:r>
          </w:p>
        </w:tc>
        <w:tc>
          <w:tcPr>
            <w:tcW w:w="723" w:type="dxa"/>
            <w:noWrap/>
            <w:vAlign w:val="center"/>
          </w:tcPr>
          <w:p>
            <w:pPr>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t>48块</w:t>
            </w:r>
          </w:p>
        </w:tc>
        <w:tc>
          <w:tcPr>
            <w:tcW w:w="1177" w:type="dxa"/>
            <w:vMerge w:val="restart"/>
            <w:noWrap w:val="0"/>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r>
              <w:rPr>
                <w:rFonts w:hint="eastAsia" w:hAnsi="宋体"/>
                <w:color w:val="auto"/>
                <w:szCs w:val="21"/>
                <w:shd w:val="clear" w:color="auto" w:fill="auto"/>
                <w:lang w:eastAsia="zh-CN"/>
              </w:rPr>
              <w:t>展会</w:t>
            </w:r>
            <w:r>
              <w:rPr>
                <w:rFonts w:ascii="Times New Roman" w:hAnsi="宋体"/>
                <w:color w:val="auto"/>
                <w:szCs w:val="21"/>
                <w:shd w:val="clear" w:color="auto" w:fill="auto"/>
              </w:rPr>
              <w:t>项目仅供</w:t>
            </w:r>
            <w:r>
              <w:rPr>
                <w:rFonts w:hint="eastAsia" w:hAnsi="宋体"/>
                <w:color w:val="auto"/>
                <w:szCs w:val="21"/>
                <w:shd w:val="clear" w:color="auto" w:fill="auto"/>
                <w:lang w:eastAsia="zh-CN"/>
              </w:rPr>
              <w:t>参</w:t>
            </w:r>
            <w:r>
              <w:rPr>
                <w:rFonts w:ascii="Times New Roman" w:hAnsi="宋体"/>
                <w:color w:val="auto"/>
                <w:szCs w:val="21"/>
                <w:shd w:val="clear" w:color="auto" w:fill="auto"/>
              </w:rPr>
              <w:t>考，结算以实际完成工作量及实际展会拆装项目</w:t>
            </w:r>
            <w:r>
              <w:rPr>
                <w:rFonts w:hint="eastAsia" w:ascii="Times New Roman" w:hAnsi="宋体"/>
                <w:color w:val="auto"/>
                <w:szCs w:val="21"/>
                <w:shd w:val="clear" w:color="auto" w:fill="auto"/>
              </w:rPr>
              <w:t>为准</w:t>
            </w:r>
            <w:r>
              <w:rPr>
                <w:rFonts w:hint="eastAsia" w:hAnsi="宋体"/>
                <w:color w:val="auto"/>
                <w:szCs w:val="21"/>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p>
        </w:tc>
        <w:tc>
          <w:tcPr>
            <w:tcW w:w="917" w:type="dxa"/>
            <w:vMerge w:val="continue"/>
            <w:noWrap w:val="0"/>
            <w:vAlign w:val="top"/>
          </w:tcPr>
          <w:p>
            <w:pPr>
              <w:widowControl/>
              <w:adjustRightInd w:val="0"/>
              <w:snapToGrid w:val="0"/>
              <w:jc w:val="left"/>
              <w:rPr>
                <w:rFonts w:ascii="宋体" w:hAnsi="宋体"/>
                <w:color w:val="000000" w:themeColor="text1"/>
                <w:kern w:val="0"/>
                <w:szCs w:val="21"/>
                <w14:textFill>
                  <w14:solidFill>
                    <w14:schemeClr w14:val="tx1"/>
                  </w14:solidFill>
                </w14:textFill>
              </w:rPr>
            </w:pPr>
          </w:p>
        </w:tc>
        <w:tc>
          <w:tcPr>
            <w:tcW w:w="1350" w:type="dxa"/>
            <w:vMerge w:val="continue"/>
            <w:noWrap/>
            <w:vAlign w:val="center"/>
          </w:tcPr>
          <w:p>
            <w:pPr>
              <w:widowControl/>
              <w:adjustRightInd w:val="0"/>
              <w:snapToGrid w:val="0"/>
              <w:jc w:val="left"/>
              <w:rPr>
                <w:rFonts w:ascii="宋体" w:hAnsi="宋体"/>
                <w:color w:val="000000" w:themeColor="text1"/>
                <w:kern w:val="0"/>
                <w:szCs w:val="21"/>
                <w14:textFill>
                  <w14:solidFill>
                    <w14:schemeClr w14:val="tx1"/>
                  </w14:solidFill>
                </w14:textFill>
              </w:rPr>
            </w:pPr>
          </w:p>
        </w:tc>
        <w:tc>
          <w:tcPr>
            <w:tcW w:w="1242" w:type="dxa"/>
            <w:noWrap/>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网柱撤离与安装</w:t>
            </w:r>
          </w:p>
        </w:tc>
        <w:tc>
          <w:tcPr>
            <w:tcW w:w="3720" w:type="dxa"/>
            <w:noWrap w:val="0"/>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拆除9号气排球馆、10号和11号两个羽毛球馆3个球馆48套网柱至仓库存放，展会结束重新搬运回3个球馆安装</w:t>
            </w:r>
          </w:p>
        </w:tc>
        <w:tc>
          <w:tcPr>
            <w:tcW w:w="723" w:type="dxa"/>
            <w:noWrap/>
            <w:vAlign w:val="center"/>
          </w:tcPr>
          <w:p>
            <w:pPr>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48套</w:t>
            </w:r>
          </w:p>
        </w:tc>
        <w:tc>
          <w:tcPr>
            <w:tcW w:w="1177" w:type="dxa"/>
            <w:vMerge w:val="continue"/>
            <w:noWrap w:val="0"/>
            <w:vAlign w:val="center"/>
          </w:tcPr>
          <w:p>
            <w:pPr>
              <w:adjustRightInd w:val="0"/>
              <w:snapToGrid w:val="0"/>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p>
        </w:tc>
        <w:tc>
          <w:tcPr>
            <w:tcW w:w="917" w:type="dxa"/>
            <w:vMerge w:val="continue"/>
            <w:noWrap w:val="0"/>
            <w:vAlign w:val="top"/>
          </w:tcPr>
          <w:p>
            <w:pPr>
              <w:widowControl/>
              <w:adjustRightInd w:val="0"/>
              <w:snapToGrid w:val="0"/>
              <w:jc w:val="left"/>
              <w:rPr>
                <w:rFonts w:ascii="宋体" w:hAnsi="宋体"/>
                <w:color w:val="000000" w:themeColor="text1"/>
                <w:kern w:val="0"/>
                <w:szCs w:val="21"/>
                <w14:textFill>
                  <w14:solidFill>
                    <w14:schemeClr w14:val="tx1"/>
                  </w14:solidFill>
                </w14:textFill>
              </w:rPr>
            </w:pPr>
          </w:p>
        </w:tc>
        <w:tc>
          <w:tcPr>
            <w:tcW w:w="1350" w:type="dxa"/>
            <w:vMerge w:val="continue"/>
            <w:noWrap/>
            <w:vAlign w:val="center"/>
          </w:tcPr>
          <w:p>
            <w:pPr>
              <w:widowControl/>
              <w:adjustRightInd w:val="0"/>
              <w:snapToGrid w:val="0"/>
              <w:jc w:val="left"/>
              <w:rPr>
                <w:rFonts w:ascii="宋体" w:hAnsi="宋体"/>
                <w:color w:val="000000" w:themeColor="text1"/>
                <w:kern w:val="0"/>
                <w:szCs w:val="21"/>
                <w14:textFill>
                  <w14:solidFill>
                    <w14:schemeClr w14:val="tx1"/>
                  </w14:solidFill>
                </w14:textFill>
              </w:rPr>
            </w:pPr>
          </w:p>
        </w:tc>
        <w:tc>
          <w:tcPr>
            <w:tcW w:w="1242" w:type="dxa"/>
            <w:noWrap/>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遮光窗帘布拆运与重新安装</w:t>
            </w:r>
          </w:p>
        </w:tc>
        <w:tc>
          <w:tcPr>
            <w:tcW w:w="3720" w:type="dxa"/>
            <w:noWrap w:val="0"/>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拆除9号气排球馆、10号和11号两个羽毛球馆遮光窗帘布搬运仓库存放，展会结束搬运回3个球馆安装5350平方米</w:t>
            </w:r>
          </w:p>
        </w:tc>
        <w:tc>
          <w:tcPr>
            <w:tcW w:w="723" w:type="dxa"/>
            <w:noWrap/>
            <w:vAlign w:val="center"/>
          </w:tcPr>
          <w:p>
            <w:pPr>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3套</w:t>
            </w:r>
          </w:p>
        </w:tc>
        <w:tc>
          <w:tcPr>
            <w:tcW w:w="1177" w:type="dxa"/>
            <w:vMerge w:val="continue"/>
            <w:noWrap w:val="0"/>
            <w:vAlign w:val="center"/>
          </w:tcPr>
          <w:p>
            <w:pPr>
              <w:adjustRightInd w:val="0"/>
              <w:snapToGrid w:val="0"/>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ign w:val="center"/>
          </w:tcPr>
          <w:p>
            <w:pPr>
              <w:adjustRightInd w:val="0"/>
              <w:snapToGrid w:val="0"/>
              <w:jc w:val="center"/>
              <w:rPr>
                <w:rFonts w:ascii="宋体" w:hAnsi="宋体"/>
                <w:color w:val="000000" w:themeColor="text1"/>
                <w:kern w:val="0"/>
                <w:szCs w:val="21"/>
                <w14:textFill>
                  <w14:solidFill>
                    <w14:schemeClr w14:val="tx1"/>
                  </w14:solidFill>
                </w14:textFill>
              </w:rPr>
            </w:pPr>
          </w:p>
        </w:tc>
        <w:tc>
          <w:tcPr>
            <w:tcW w:w="917" w:type="dxa"/>
            <w:vMerge w:val="continue"/>
            <w:noWrap w:val="0"/>
            <w:vAlign w:val="top"/>
          </w:tcPr>
          <w:p>
            <w:pPr>
              <w:adjustRightInd w:val="0"/>
              <w:snapToGrid w:val="0"/>
              <w:jc w:val="left"/>
              <w:rPr>
                <w:rFonts w:ascii="宋体" w:hAnsi="宋体"/>
                <w:color w:val="000000" w:themeColor="text1"/>
                <w:kern w:val="0"/>
                <w:szCs w:val="21"/>
                <w14:textFill>
                  <w14:solidFill>
                    <w14:schemeClr w14:val="tx1"/>
                  </w14:solidFill>
                </w14:textFill>
              </w:rPr>
            </w:pPr>
          </w:p>
        </w:tc>
        <w:tc>
          <w:tcPr>
            <w:tcW w:w="1350" w:type="dxa"/>
            <w:vMerge w:val="continue"/>
            <w:noWrap/>
            <w:vAlign w:val="center"/>
          </w:tcPr>
          <w:p>
            <w:pPr>
              <w:adjustRightInd w:val="0"/>
              <w:snapToGrid w:val="0"/>
              <w:jc w:val="left"/>
              <w:rPr>
                <w:rFonts w:ascii="宋体" w:hAnsi="宋体"/>
                <w:color w:val="000000" w:themeColor="text1"/>
                <w:kern w:val="0"/>
                <w:szCs w:val="21"/>
                <w14:textFill>
                  <w14:solidFill>
                    <w14:schemeClr w14:val="tx1"/>
                  </w14:solidFill>
                </w14:textFill>
              </w:rPr>
            </w:pPr>
          </w:p>
        </w:tc>
        <w:tc>
          <w:tcPr>
            <w:tcW w:w="1242" w:type="dxa"/>
            <w:noWrap/>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球馆服务台物品设施拆运与安装</w:t>
            </w:r>
          </w:p>
        </w:tc>
        <w:tc>
          <w:tcPr>
            <w:tcW w:w="3720" w:type="dxa"/>
            <w:noWrap w:val="0"/>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拆除球馆服务台物品设施搬运至仓库存放，展会结束搬运回球馆安装</w:t>
            </w:r>
          </w:p>
        </w:tc>
        <w:tc>
          <w:tcPr>
            <w:tcW w:w="723" w:type="dxa"/>
            <w:noWrap/>
            <w:vAlign w:val="center"/>
          </w:tcPr>
          <w:p>
            <w:pPr>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2套</w:t>
            </w:r>
          </w:p>
        </w:tc>
        <w:tc>
          <w:tcPr>
            <w:tcW w:w="1177" w:type="dxa"/>
            <w:vMerge w:val="continue"/>
            <w:noWrap w:val="0"/>
            <w:vAlign w:val="center"/>
          </w:tcPr>
          <w:p>
            <w:pPr>
              <w:adjustRightInd w:val="0"/>
              <w:snapToGrid w:val="0"/>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ign w:val="center"/>
          </w:tcPr>
          <w:p>
            <w:pPr>
              <w:adjustRightInd w:val="0"/>
              <w:snapToGrid w:val="0"/>
              <w:jc w:val="center"/>
              <w:rPr>
                <w:rFonts w:ascii="宋体" w:hAnsi="宋体"/>
                <w:color w:val="000000" w:themeColor="text1"/>
                <w:kern w:val="0"/>
                <w:szCs w:val="21"/>
                <w14:textFill>
                  <w14:solidFill>
                    <w14:schemeClr w14:val="tx1"/>
                  </w14:solidFill>
                </w14:textFill>
              </w:rPr>
            </w:pPr>
          </w:p>
        </w:tc>
        <w:tc>
          <w:tcPr>
            <w:tcW w:w="917" w:type="dxa"/>
            <w:vMerge w:val="continue"/>
            <w:noWrap w:val="0"/>
            <w:vAlign w:val="top"/>
          </w:tcPr>
          <w:p>
            <w:pPr>
              <w:adjustRightInd w:val="0"/>
              <w:snapToGrid w:val="0"/>
              <w:jc w:val="left"/>
              <w:rPr>
                <w:rFonts w:ascii="宋体" w:hAnsi="宋体"/>
                <w:color w:val="000000" w:themeColor="text1"/>
                <w:kern w:val="0"/>
                <w:szCs w:val="21"/>
                <w14:textFill>
                  <w14:solidFill>
                    <w14:schemeClr w14:val="tx1"/>
                  </w14:solidFill>
                </w14:textFill>
              </w:rPr>
            </w:pPr>
          </w:p>
        </w:tc>
        <w:tc>
          <w:tcPr>
            <w:tcW w:w="1350" w:type="dxa"/>
            <w:vMerge w:val="continue"/>
            <w:noWrap/>
            <w:vAlign w:val="center"/>
          </w:tcPr>
          <w:p>
            <w:pPr>
              <w:adjustRightInd w:val="0"/>
              <w:snapToGrid w:val="0"/>
              <w:jc w:val="left"/>
              <w:rPr>
                <w:rFonts w:ascii="宋体" w:hAnsi="宋体"/>
                <w:color w:val="000000" w:themeColor="text1"/>
                <w:kern w:val="0"/>
                <w:szCs w:val="21"/>
                <w14:textFill>
                  <w14:solidFill>
                    <w14:schemeClr w14:val="tx1"/>
                  </w14:solidFill>
                </w14:textFill>
              </w:rPr>
            </w:pPr>
          </w:p>
        </w:tc>
        <w:tc>
          <w:tcPr>
            <w:tcW w:w="1242" w:type="dxa"/>
            <w:noWrap/>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服务台、试衣间围板拆运、搭建</w:t>
            </w:r>
          </w:p>
        </w:tc>
        <w:tc>
          <w:tcPr>
            <w:tcW w:w="3720" w:type="dxa"/>
            <w:noWrap w:val="0"/>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拆除球馆服务台、试衣间搬运至指定仓库，展会结束用隔层围板搭建服务台、试衣间</w:t>
            </w:r>
          </w:p>
        </w:tc>
        <w:tc>
          <w:tcPr>
            <w:tcW w:w="723" w:type="dxa"/>
            <w:noWrap/>
            <w:vAlign w:val="center"/>
          </w:tcPr>
          <w:p>
            <w:pPr>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4套</w:t>
            </w:r>
          </w:p>
        </w:tc>
        <w:tc>
          <w:tcPr>
            <w:tcW w:w="1177" w:type="dxa"/>
            <w:vMerge w:val="continue"/>
            <w:noWrap w:val="0"/>
            <w:vAlign w:val="center"/>
          </w:tcPr>
          <w:p>
            <w:pPr>
              <w:adjustRightInd w:val="0"/>
              <w:snapToGrid w:val="0"/>
              <w:jc w:val="both"/>
              <w:rPr>
                <w:rFonts w:ascii="宋体" w:hAnsi="宋体"/>
                <w:color w:val="000000" w:themeColor="text1"/>
                <w:kern w:val="0"/>
                <w:szCs w:val="21"/>
                <w14:textFill>
                  <w14:solidFill>
                    <w14:schemeClr w14:val="tx1"/>
                  </w14:solidFill>
                </w14:textFill>
              </w:rPr>
            </w:pPr>
          </w:p>
        </w:tc>
      </w:tr>
    </w:tbl>
    <w:p>
      <w:pPr>
        <w:widowControl/>
        <w:jc w:val="left"/>
        <w:rPr>
          <w:rFonts w:hint="eastAsia"/>
          <w:color w:val="000000" w:themeColor="text1"/>
          <w:highlight w:val="none"/>
          <w:lang w:val="en-US" w:eastAsia="zh-CN"/>
          <w14:textFill>
            <w14:solidFill>
              <w14:schemeClr w14:val="tx1"/>
            </w14:solidFill>
          </w14:textFill>
        </w:rPr>
      </w:pPr>
    </w:p>
    <w:p>
      <w:pPr>
        <w:pStyle w:val="4"/>
        <w:jc w:val="center"/>
        <w:rPr>
          <w:rFonts w:hAnsi="宋体"/>
          <w:color w:val="000000" w:themeColor="text1"/>
          <w:highlight w:val="none"/>
          <w14:textFill>
            <w14:solidFill>
              <w14:schemeClr w14:val="tx1"/>
            </w14:solidFill>
          </w14:textFill>
        </w:rPr>
      </w:pPr>
      <w:bookmarkStart w:id="5" w:name="_Toc393040187"/>
      <w:r>
        <w:rPr>
          <w:rFonts w:hint="eastAsia"/>
          <w:color w:val="000000" w:themeColor="text1"/>
          <w:highlight w:val="none"/>
          <w14:textFill>
            <w14:solidFill>
              <w14:schemeClr w14:val="tx1"/>
            </w14:solidFill>
          </w14:textFill>
        </w:rPr>
        <w:t>第四章评</w:t>
      </w:r>
      <w:bookmarkEnd w:id="5"/>
      <w:r>
        <w:rPr>
          <w:rFonts w:hint="eastAsia"/>
          <w:color w:val="000000" w:themeColor="text1"/>
          <w:highlight w:val="none"/>
          <w14:textFill>
            <w14:solidFill>
              <w14:schemeClr w14:val="tx1"/>
            </w14:solidFill>
          </w14:textFill>
        </w:rPr>
        <w:t>审方法</w:t>
      </w:r>
    </w:p>
    <w:p>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最低评标价法</w:t>
      </w:r>
    </w:p>
    <w:p>
      <w:pPr>
        <w:tabs>
          <w:tab w:val="left" w:pos="1935"/>
        </w:tabs>
        <w:spacing w:line="400" w:lineRule="exact"/>
        <w:ind w:firstLine="420" w:firstLineChars="200"/>
        <w:rPr>
          <w:rFonts w:ascii="宋体" w:hAnsi="Courier New"/>
          <w:color w:val="000000" w:themeColor="text1"/>
          <w:szCs w:val="20"/>
          <w:highlight w:val="none"/>
          <w14:textFill>
            <w14:solidFill>
              <w14:schemeClr w14:val="tx1"/>
            </w14:solidFill>
          </w14:textFill>
        </w:rPr>
      </w:pPr>
    </w:p>
    <w:p>
      <w:pPr>
        <w:tabs>
          <w:tab w:val="left" w:pos="1935"/>
        </w:tabs>
        <w:spacing w:line="400" w:lineRule="exact"/>
        <w:ind w:firstLine="420" w:firstLineChars="200"/>
        <w:rPr>
          <w:rFonts w:hAnsi="宋体"/>
          <w:b/>
          <w:color w:val="000000" w:themeColor="text1"/>
          <w:sz w:val="32"/>
          <w:szCs w:val="32"/>
          <w:highlight w:val="none"/>
          <w14:textFill>
            <w14:solidFill>
              <w14:schemeClr w14:val="tx1"/>
            </w14:solidFill>
          </w14:textFill>
        </w:rPr>
      </w:pPr>
      <w:r>
        <w:rPr>
          <w:rFonts w:ascii="宋体" w:hAnsi="Courier New"/>
          <w:color w:val="000000" w:themeColor="text1"/>
          <w:szCs w:val="20"/>
          <w:highlight w:val="none"/>
          <w14:textFill>
            <w14:solidFill>
              <w14:schemeClr w14:val="tx1"/>
            </w14:solidFill>
          </w14:textFill>
        </w:rPr>
        <w:t>谈判小组以竞争性谈判采购文件为依据，对竞标文件进行评审，在全部满足竞争性谈判采购文件实质性要求和条件的前提下，按评标价由低到高排列成交候选供应商顺序（评标价相同时，依次按技术指标高优先、质量保证期长优先、</w:t>
      </w:r>
      <w:r>
        <w:rPr>
          <w:rFonts w:hint="eastAsia" w:ascii="宋体" w:hAnsi="Courier New"/>
          <w:color w:val="000000" w:themeColor="text1"/>
          <w:szCs w:val="20"/>
          <w:highlight w:val="none"/>
          <w14:textFill>
            <w14:solidFill>
              <w14:schemeClr w14:val="tx1"/>
            </w14:solidFill>
          </w14:textFill>
        </w:rPr>
        <w:t>处理问题响应</w:t>
      </w:r>
      <w:r>
        <w:rPr>
          <w:rFonts w:ascii="宋体" w:hAnsi="Courier New"/>
          <w:color w:val="000000" w:themeColor="text1"/>
          <w:szCs w:val="20"/>
          <w:highlight w:val="none"/>
          <w14:textFill>
            <w14:solidFill>
              <w14:schemeClr w14:val="tx1"/>
            </w14:solidFill>
          </w14:textFill>
        </w:rPr>
        <w:t>时间短优先的顺序排列；评标价相同且前述指标均相同时，由谈判小组各成员对评标价相同的供应商当场投票表决，得票多者优先；按前述程序仍无法确定供应商排名顺序的，由评审委员会抽签决定），并依照次序确定成交供应商。</w:t>
      </w:r>
      <w:r>
        <w:rPr>
          <w:rFonts w:hint="eastAsia" w:ascii="宋体" w:hAnsi="Courier New"/>
          <w:color w:val="000000" w:themeColor="text1"/>
          <w:szCs w:val="20"/>
          <w:highlight w:val="none"/>
          <w14:textFill>
            <w14:solidFill>
              <w14:schemeClr w14:val="tx1"/>
            </w14:solidFill>
          </w14:textFill>
        </w:rPr>
        <w:t>排名第一的成交候选人放弃成交、因不可抗力提出不能履行合同的，招标采购单位可以确定排名第二的成交候选人为成交人。排名第二的成交候选人因前款规定的同样原因不能签订合同的，招标采购单位可以确定排名第三的成交候选人为成交人。</w:t>
      </w:r>
    </w:p>
    <w:p>
      <w:pPr>
        <w:spacing w:beforeLines="50" w:afterLines="50" w:line="360" w:lineRule="exact"/>
        <w:ind w:firstLine="420" w:firstLineChars="200"/>
        <w:rPr>
          <w:rFonts w:ascii="宋体" w:hAnsi="宋体" w:cs="Courier New"/>
          <w:bCs/>
          <w:color w:val="auto"/>
          <w:szCs w:val="21"/>
          <w:highlight w:val="none"/>
        </w:rPr>
      </w:pPr>
      <w:r>
        <w:rPr>
          <w:rFonts w:ascii="宋体" w:hAnsi="宋体"/>
          <w:color w:val="000000" w:themeColor="text1"/>
          <w:szCs w:val="21"/>
          <w:highlight w:val="none"/>
          <w14:textFill>
            <w14:solidFill>
              <w14:schemeClr w14:val="tx1"/>
            </w14:solidFill>
          </w14:textFill>
        </w:rPr>
        <w:br w:type="page"/>
      </w:r>
    </w:p>
    <w:p>
      <w:pPr>
        <w:pStyle w:val="4"/>
        <w:jc w:val="center"/>
        <w:rPr>
          <w:color w:val="auto"/>
          <w:highlight w:val="none"/>
        </w:rPr>
      </w:pPr>
      <w:bookmarkStart w:id="6" w:name="_Toc393040191"/>
      <w:r>
        <w:rPr>
          <w:rFonts w:hint="eastAsia"/>
          <w:color w:val="auto"/>
          <w:highlight w:val="none"/>
        </w:rPr>
        <w:t>第五章响应文件格式</w:t>
      </w:r>
      <w:bookmarkEnd w:id="6"/>
    </w:p>
    <w:p>
      <w:pPr>
        <w:spacing w:line="240" w:lineRule="atLeast"/>
        <w:jc w:val="center"/>
        <w:rPr>
          <w:rFonts w:hint="eastAsia" w:ascii="宋体" w:hAnsi="宋体"/>
          <w:b/>
          <w:color w:val="auto"/>
          <w:sz w:val="44"/>
          <w:szCs w:val="44"/>
          <w:highlight w:val="none"/>
        </w:rPr>
      </w:pPr>
    </w:p>
    <w:p>
      <w:pPr>
        <w:spacing w:line="240" w:lineRule="atLeast"/>
        <w:jc w:val="center"/>
        <w:rPr>
          <w:rFonts w:hint="eastAsia" w:ascii="宋体" w:hAnsi="宋体"/>
          <w:b/>
          <w:color w:val="auto"/>
          <w:sz w:val="44"/>
          <w:szCs w:val="44"/>
          <w:highlight w:val="none"/>
        </w:rPr>
      </w:pPr>
    </w:p>
    <w:p>
      <w:pPr>
        <w:spacing w:line="240" w:lineRule="atLeast"/>
        <w:jc w:val="center"/>
        <w:rPr>
          <w:rFonts w:hint="eastAsia" w:ascii="宋体" w:hAnsi="宋体"/>
          <w:b/>
          <w:color w:val="auto"/>
          <w:sz w:val="44"/>
          <w:szCs w:val="44"/>
          <w:highlight w:val="none"/>
        </w:rPr>
      </w:pPr>
    </w:p>
    <w:p>
      <w:pPr>
        <w:spacing w:line="240" w:lineRule="atLeast"/>
        <w:jc w:val="center"/>
        <w:rPr>
          <w:rFonts w:ascii="宋体" w:hAnsi="宋体"/>
          <w:b/>
          <w:color w:val="auto"/>
          <w:sz w:val="32"/>
          <w:szCs w:val="32"/>
          <w:highlight w:val="none"/>
        </w:rPr>
      </w:pPr>
      <w:r>
        <w:rPr>
          <w:rFonts w:hint="eastAsia" w:ascii="宋体" w:hAnsi="宋体"/>
          <w:b/>
          <w:color w:val="auto"/>
          <w:sz w:val="44"/>
          <w:szCs w:val="44"/>
          <w:highlight w:val="none"/>
        </w:rPr>
        <w:t>响应文件</w:t>
      </w:r>
      <w:r>
        <w:rPr>
          <w:rFonts w:hint="eastAsia" w:ascii="宋体" w:hAnsi="宋体"/>
          <w:color w:val="auto"/>
          <w:szCs w:val="21"/>
          <w:highlight w:val="none"/>
        </w:rPr>
        <w:t>(封面）</w:t>
      </w: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left"/>
        <w:rPr>
          <w:rFonts w:ascii="宋体" w:hAnsi="宋体"/>
          <w:color w:val="auto"/>
          <w:szCs w:val="21"/>
          <w:highlight w:val="none"/>
          <w:u w:val="single"/>
        </w:rPr>
      </w:pPr>
      <w:r>
        <w:rPr>
          <w:rFonts w:hint="eastAsia" w:ascii="宋体" w:hAnsi="宋体"/>
          <w:color w:val="auto"/>
          <w:szCs w:val="21"/>
          <w:highlight w:val="none"/>
        </w:rPr>
        <w:t>采购项目编号：</w:t>
      </w:r>
    </w:p>
    <w:p>
      <w:pPr>
        <w:tabs>
          <w:tab w:val="left" w:pos="3240"/>
        </w:tabs>
        <w:spacing w:line="360" w:lineRule="auto"/>
        <w:jc w:val="left"/>
        <w:rPr>
          <w:rFonts w:ascii="宋体" w:hAnsi="宋体"/>
          <w:color w:val="auto"/>
          <w:szCs w:val="21"/>
          <w:highlight w:val="none"/>
          <w:u w:val="single"/>
        </w:rPr>
      </w:pPr>
      <w:r>
        <w:rPr>
          <w:rFonts w:hint="eastAsia" w:ascii="宋体" w:hAnsi="宋体"/>
          <w:color w:val="auto"/>
          <w:szCs w:val="21"/>
          <w:highlight w:val="none"/>
        </w:rPr>
        <w:t>采购项目名称：</w:t>
      </w:r>
    </w:p>
    <w:p>
      <w:pPr>
        <w:tabs>
          <w:tab w:val="left" w:pos="2625"/>
        </w:tabs>
        <w:spacing w:line="360" w:lineRule="auto"/>
        <w:jc w:val="center"/>
        <w:rPr>
          <w:rFonts w:ascii="宋体" w:hAnsi="宋体"/>
          <w:color w:val="auto"/>
          <w:szCs w:val="21"/>
          <w:highlight w:val="none"/>
        </w:rPr>
      </w:pPr>
    </w:p>
    <w:p>
      <w:pPr>
        <w:tabs>
          <w:tab w:val="left" w:pos="2625"/>
        </w:tabs>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r>
        <w:rPr>
          <w:rFonts w:hint="eastAsia" w:ascii="宋体" w:hAnsi="宋体"/>
          <w:color w:val="auto"/>
          <w:szCs w:val="21"/>
          <w:highlight w:val="none"/>
        </w:rPr>
        <w:t xml:space="preserve">                                        （供应商名称）</w:t>
      </w:r>
    </w:p>
    <w:p>
      <w:pPr>
        <w:spacing w:line="360" w:lineRule="auto"/>
        <w:ind w:firstLine="6111" w:firstLineChars="2910"/>
        <w:rPr>
          <w:rFonts w:ascii="宋体" w:hAnsi="宋体"/>
          <w:color w:val="auto"/>
          <w:szCs w:val="21"/>
          <w:highlight w:val="none"/>
        </w:rPr>
      </w:pPr>
      <w:r>
        <w:rPr>
          <w:rFonts w:hint="eastAsia" w:ascii="宋体" w:hAnsi="宋体"/>
          <w:color w:val="auto"/>
          <w:szCs w:val="21"/>
          <w:highlight w:val="none"/>
        </w:rPr>
        <w:t>年    月    日</w:t>
      </w: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 xml:space="preserve">附件一 </w:t>
      </w:r>
    </w:p>
    <w:p>
      <w:pPr>
        <w:spacing w:line="320" w:lineRule="exact"/>
        <w:rPr>
          <w:rFonts w:ascii="宋体" w:hAnsi="宋体"/>
          <w:color w:val="auto"/>
          <w:szCs w:val="21"/>
          <w:highlight w:val="none"/>
        </w:rPr>
      </w:pPr>
    </w:p>
    <w:p>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谈  判  书</w:t>
      </w:r>
    </w:p>
    <w:p>
      <w:pPr>
        <w:spacing w:line="320" w:lineRule="exact"/>
        <w:jc w:val="center"/>
        <w:rPr>
          <w:rFonts w:ascii="宋体" w:hAnsi="宋体"/>
          <w:b/>
          <w:color w:val="auto"/>
          <w:sz w:val="32"/>
          <w:szCs w:val="32"/>
          <w:highlight w:val="none"/>
        </w:rPr>
      </w:pPr>
    </w:p>
    <w:p>
      <w:pPr>
        <w:pStyle w:val="25"/>
        <w:spacing w:line="400" w:lineRule="exact"/>
        <w:rPr>
          <w:rFonts w:hAnsi="宋体"/>
          <w:color w:val="auto"/>
          <w:highlight w:val="none"/>
        </w:rPr>
      </w:pPr>
      <w:r>
        <w:rPr>
          <w:rFonts w:hint="eastAsia" w:hAnsi="宋体" w:cs="Times New Roman"/>
          <w:color w:val="auto"/>
          <w:highlight w:val="none"/>
        </w:rPr>
        <w:t>致____________(采购人)</w:t>
      </w:r>
      <w:r>
        <w:rPr>
          <w:rFonts w:hint="eastAsia" w:hAnsi="宋体"/>
          <w:color w:val="auto"/>
          <w:highlight w:val="none"/>
        </w:rPr>
        <w:t>：</w:t>
      </w:r>
    </w:p>
    <w:p>
      <w:pPr>
        <w:pStyle w:val="25"/>
        <w:spacing w:line="400" w:lineRule="exact"/>
        <w:ind w:firstLine="420" w:firstLineChars="200"/>
        <w:rPr>
          <w:rFonts w:hAnsi="宋体"/>
          <w:color w:val="auto"/>
          <w:highlight w:val="none"/>
        </w:rPr>
      </w:pPr>
      <w:r>
        <w:rPr>
          <w:rFonts w:hint="eastAsia" w:hAnsi="宋体"/>
          <w:color w:val="auto"/>
          <w:highlight w:val="none"/>
        </w:rPr>
        <w:t>依据贵方</w:t>
      </w:r>
      <w:r>
        <w:rPr>
          <w:rFonts w:hint="eastAsia" w:hAnsi="宋体"/>
          <w:color w:val="auto"/>
          <w:highlight w:val="none"/>
          <w:u w:val="single"/>
        </w:rPr>
        <w:t>（项目名称/文件编号）</w:t>
      </w:r>
      <w:r>
        <w:rPr>
          <w:rFonts w:hint="eastAsia" w:hAnsi="宋体"/>
          <w:color w:val="auto"/>
          <w:highlight w:val="none"/>
        </w:rPr>
        <w:t>项目采购的谈判邀请，我方</w:t>
      </w:r>
      <w:r>
        <w:rPr>
          <w:rFonts w:hint="eastAsia" w:hAnsi="宋体"/>
          <w:color w:val="auto"/>
          <w:highlight w:val="none"/>
          <w:u w:val="single"/>
        </w:rPr>
        <w:t>（姓名和职务）</w:t>
      </w:r>
      <w:r>
        <w:rPr>
          <w:rFonts w:hint="eastAsia" w:hAnsi="宋体"/>
          <w:color w:val="auto"/>
          <w:highlight w:val="none"/>
        </w:rPr>
        <w:t>经正式授权并代表供应商</w:t>
      </w:r>
      <w:r>
        <w:rPr>
          <w:rFonts w:hint="eastAsia" w:hAnsi="宋体"/>
          <w:color w:val="auto"/>
          <w:highlight w:val="none"/>
          <w:u w:val="single"/>
        </w:rPr>
        <w:t>（供应商名称、地址）</w:t>
      </w:r>
      <w:r>
        <w:rPr>
          <w:rFonts w:hint="eastAsia" w:hAnsi="宋体"/>
          <w:color w:val="auto"/>
          <w:highlight w:val="none"/>
        </w:rPr>
        <w:t>提交下述响应文件正本一份，副本份，包含下列内容：</w:t>
      </w:r>
    </w:p>
    <w:p>
      <w:pPr>
        <w:pStyle w:val="25"/>
        <w:spacing w:line="400" w:lineRule="exact"/>
        <w:ind w:firstLine="480"/>
        <w:rPr>
          <w:rFonts w:hAnsi="宋体"/>
          <w:color w:val="auto"/>
          <w:highlight w:val="none"/>
        </w:rPr>
      </w:pPr>
      <w:r>
        <w:rPr>
          <w:rFonts w:hint="eastAsia" w:hAnsi="宋体"/>
          <w:color w:val="auto"/>
          <w:highlight w:val="none"/>
        </w:rPr>
        <w:t>1. 报价表；</w:t>
      </w:r>
    </w:p>
    <w:p>
      <w:pPr>
        <w:pStyle w:val="25"/>
        <w:spacing w:line="400" w:lineRule="exact"/>
        <w:ind w:firstLine="480"/>
        <w:rPr>
          <w:rFonts w:hAnsi="宋体"/>
          <w:color w:val="auto"/>
          <w:highlight w:val="none"/>
        </w:rPr>
      </w:pPr>
      <w:r>
        <w:rPr>
          <w:rFonts w:hint="eastAsia" w:hAnsi="宋体"/>
          <w:color w:val="auto"/>
          <w:highlight w:val="none"/>
        </w:rPr>
        <w:t>2. 服务响应偏离情况说明表；</w:t>
      </w:r>
    </w:p>
    <w:p>
      <w:pPr>
        <w:pStyle w:val="25"/>
        <w:spacing w:line="400" w:lineRule="exact"/>
        <w:ind w:firstLine="480"/>
        <w:rPr>
          <w:rFonts w:hAnsi="宋体"/>
          <w:color w:val="auto"/>
          <w:highlight w:val="none"/>
        </w:rPr>
      </w:pPr>
      <w:r>
        <w:rPr>
          <w:rFonts w:hint="eastAsia" w:hAnsi="宋体"/>
          <w:color w:val="auto"/>
          <w:highlight w:val="none"/>
        </w:rPr>
        <w:t>3. 投入设备响应表；</w:t>
      </w:r>
    </w:p>
    <w:p>
      <w:pPr>
        <w:pStyle w:val="25"/>
        <w:spacing w:line="400" w:lineRule="exact"/>
        <w:ind w:firstLine="480"/>
        <w:rPr>
          <w:rFonts w:hAnsi="宋体"/>
          <w:color w:val="auto"/>
          <w:highlight w:val="none"/>
        </w:rPr>
      </w:pPr>
      <w:r>
        <w:rPr>
          <w:rFonts w:hint="eastAsia" w:hAnsi="宋体"/>
          <w:color w:val="auto"/>
          <w:highlight w:val="none"/>
        </w:rPr>
        <w:t>4. 技术支持和服务方案；</w:t>
      </w:r>
    </w:p>
    <w:p>
      <w:pPr>
        <w:pStyle w:val="25"/>
        <w:spacing w:line="400" w:lineRule="exact"/>
        <w:ind w:firstLine="480"/>
        <w:rPr>
          <w:rFonts w:hAnsi="宋体"/>
          <w:color w:val="auto"/>
          <w:highlight w:val="none"/>
        </w:rPr>
      </w:pPr>
      <w:r>
        <w:rPr>
          <w:rFonts w:hint="eastAsia" w:hAnsi="宋体"/>
          <w:color w:val="auto"/>
          <w:highlight w:val="none"/>
        </w:rPr>
        <w:t>5. 按谈判采购文件供应商须知和服务需求及要求提供的有关文件；</w:t>
      </w:r>
    </w:p>
    <w:p>
      <w:pPr>
        <w:pStyle w:val="25"/>
        <w:spacing w:line="400" w:lineRule="exact"/>
        <w:ind w:firstLine="480"/>
        <w:rPr>
          <w:rFonts w:hAnsi="宋体"/>
          <w:color w:val="auto"/>
          <w:highlight w:val="none"/>
        </w:rPr>
      </w:pPr>
      <w:r>
        <w:rPr>
          <w:rFonts w:hint="eastAsia" w:hAnsi="宋体"/>
          <w:color w:val="auto"/>
          <w:highlight w:val="none"/>
        </w:rPr>
        <w:t>6. 资格证明文件；</w:t>
      </w:r>
    </w:p>
    <w:p>
      <w:pPr>
        <w:pStyle w:val="25"/>
        <w:spacing w:line="400" w:lineRule="exact"/>
        <w:ind w:firstLine="420" w:firstLineChars="200"/>
        <w:rPr>
          <w:rFonts w:hAnsi="宋体"/>
          <w:color w:val="auto"/>
          <w:highlight w:val="none"/>
        </w:rPr>
      </w:pPr>
      <w:r>
        <w:rPr>
          <w:rFonts w:hint="eastAsia" w:hAnsi="宋体"/>
          <w:color w:val="auto"/>
          <w:highlight w:val="none"/>
        </w:rPr>
        <w:t>在此，授权代表宣布同意如下：</w:t>
      </w:r>
    </w:p>
    <w:p>
      <w:pPr>
        <w:pStyle w:val="25"/>
        <w:spacing w:line="400" w:lineRule="exact"/>
        <w:ind w:firstLine="420" w:firstLineChars="200"/>
        <w:rPr>
          <w:rFonts w:hAnsi="宋体"/>
          <w:color w:val="auto"/>
          <w:highlight w:val="none"/>
        </w:rPr>
      </w:pPr>
      <w:r>
        <w:rPr>
          <w:rFonts w:hint="eastAsia" w:hAnsi="宋体"/>
          <w:color w:val="auto"/>
          <w:highlight w:val="none"/>
        </w:rPr>
        <w:t>1.响应文件有效期：；</w:t>
      </w:r>
    </w:p>
    <w:p>
      <w:pPr>
        <w:pStyle w:val="25"/>
        <w:spacing w:line="400" w:lineRule="exact"/>
        <w:ind w:firstLine="420" w:firstLineChars="200"/>
        <w:rPr>
          <w:rFonts w:hAnsi="宋体"/>
          <w:color w:val="auto"/>
          <w:highlight w:val="none"/>
        </w:rPr>
      </w:pPr>
      <w:r>
        <w:rPr>
          <w:rFonts w:hint="eastAsia" w:hAnsi="宋体"/>
          <w:color w:val="auto"/>
          <w:highlight w:val="none"/>
        </w:rPr>
        <w:t>2. 将按谈判采购文件的约定履行合同责任和义务；</w:t>
      </w:r>
    </w:p>
    <w:p>
      <w:pPr>
        <w:pStyle w:val="25"/>
        <w:spacing w:line="400" w:lineRule="exact"/>
        <w:ind w:firstLine="420" w:firstLineChars="200"/>
        <w:rPr>
          <w:rFonts w:hAnsi="宋体"/>
          <w:color w:val="auto"/>
          <w:highlight w:val="none"/>
        </w:rPr>
      </w:pPr>
      <w:r>
        <w:rPr>
          <w:rFonts w:hint="eastAsia" w:hAnsi="宋体"/>
          <w:color w:val="auto"/>
          <w:highlight w:val="none"/>
        </w:rPr>
        <w:t>3. 已详细审查全部谈判采购文件，包括</w:t>
      </w:r>
      <w:r>
        <w:rPr>
          <w:rFonts w:hint="eastAsia" w:hAnsi="宋体"/>
          <w:color w:val="auto"/>
          <w:highlight w:val="none"/>
          <w:u w:val="single"/>
        </w:rPr>
        <w:t>（补遗文件）（如果有的话）</w:t>
      </w:r>
      <w:r>
        <w:rPr>
          <w:rFonts w:hint="eastAsia" w:hAnsi="宋体"/>
          <w:color w:val="auto"/>
          <w:highlight w:val="none"/>
        </w:rPr>
        <w:t>；我们完全理解并同意放弃对这方面有不明及误解的权力；</w:t>
      </w:r>
    </w:p>
    <w:p>
      <w:pPr>
        <w:pStyle w:val="25"/>
        <w:spacing w:line="400" w:lineRule="exact"/>
        <w:ind w:firstLine="420" w:firstLineChars="200"/>
        <w:rPr>
          <w:rFonts w:hAnsi="宋体"/>
          <w:color w:val="auto"/>
          <w:highlight w:val="none"/>
        </w:rPr>
      </w:pPr>
      <w:r>
        <w:rPr>
          <w:rFonts w:hint="eastAsia" w:hAnsi="宋体"/>
          <w:color w:val="auto"/>
          <w:highlight w:val="none"/>
        </w:rPr>
        <w:t>4. 同意提供按照贵方可能要求的与其谈判有关的一切数据或资料；</w:t>
      </w:r>
    </w:p>
    <w:p>
      <w:pPr>
        <w:pStyle w:val="25"/>
        <w:spacing w:line="400" w:lineRule="exact"/>
        <w:ind w:firstLine="420" w:firstLineChars="200"/>
        <w:rPr>
          <w:rFonts w:hAnsi="宋体"/>
          <w:color w:val="auto"/>
          <w:highlight w:val="none"/>
        </w:rPr>
      </w:pPr>
      <w:r>
        <w:rPr>
          <w:rFonts w:hint="eastAsia" w:hAnsi="宋体"/>
          <w:color w:val="auto"/>
          <w:highlight w:val="none"/>
        </w:rPr>
        <w:t>5. 与本谈判有关的一切正式往来信函请寄：邮政编号：</w:t>
      </w:r>
    </w:p>
    <w:p>
      <w:pPr>
        <w:pStyle w:val="25"/>
        <w:spacing w:line="400" w:lineRule="exact"/>
        <w:ind w:firstLine="840"/>
        <w:rPr>
          <w:rFonts w:hAnsi="宋体"/>
          <w:color w:val="auto"/>
          <w:highlight w:val="none"/>
        </w:rPr>
      </w:pPr>
      <w:r>
        <w:rPr>
          <w:rFonts w:hint="eastAsia" w:hAnsi="宋体"/>
          <w:color w:val="auto"/>
          <w:highlight w:val="none"/>
        </w:rPr>
        <w:t>电话/传真： 电子函件：</w:t>
      </w:r>
    </w:p>
    <w:p>
      <w:pPr>
        <w:pStyle w:val="25"/>
        <w:spacing w:line="400" w:lineRule="exact"/>
        <w:ind w:firstLine="840"/>
        <w:rPr>
          <w:rFonts w:hAnsi="宋体"/>
          <w:color w:val="auto"/>
          <w:highlight w:val="none"/>
        </w:rPr>
      </w:pPr>
    </w:p>
    <w:p>
      <w:pPr>
        <w:pStyle w:val="25"/>
        <w:spacing w:line="400" w:lineRule="exact"/>
        <w:ind w:firstLine="840"/>
        <w:rPr>
          <w:rFonts w:hAnsi="宋体"/>
          <w:color w:val="auto"/>
          <w:highlight w:val="none"/>
          <w:u w:val="single"/>
        </w:rPr>
      </w:pPr>
      <w:r>
        <w:rPr>
          <w:rFonts w:hint="eastAsia" w:hAnsi="宋体"/>
          <w:color w:val="auto"/>
          <w:highlight w:val="none"/>
        </w:rPr>
        <w:t>法定代表人或被授权人签字：</w:t>
      </w:r>
    </w:p>
    <w:p>
      <w:pPr>
        <w:pStyle w:val="25"/>
        <w:spacing w:line="400" w:lineRule="exact"/>
        <w:ind w:firstLine="840"/>
        <w:rPr>
          <w:rFonts w:hAnsi="宋体"/>
          <w:color w:val="auto"/>
          <w:highlight w:val="none"/>
        </w:rPr>
      </w:pPr>
      <w:r>
        <w:rPr>
          <w:rFonts w:hint="eastAsia" w:hAnsi="宋体"/>
          <w:color w:val="auto"/>
          <w:highlight w:val="none"/>
        </w:rPr>
        <w:t>供应商名称（公章）：</w:t>
      </w:r>
    </w:p>
    <w:p>
      <w:pPr>
        <w:pStyle w:val="25"/>
        <w:spacing w:line="400" w:lineRule="exact"/>
        <w:ind w:firstLine="840"/>
        <w:rPr>
          <w:rFonts w:hAnsi="宋体"/>
          <w:color w:val="auto"/>
          <w:highlight w:val="none"/>
          <w:u w:val="single"/>
        </w:rPr>
      </w:pPr>
      <w:r>
        <w:rPr>
          <w:rFonts w:hint="eastAsia" w:hAnsi="宋体"/>
          <w:color w:val="auto"/>
          <w:highlight w:val="none"/>
        </w:rPr>
        <w:t>日期：     年  月  日</w:t>
      </w:r>
    </w:p>
    <w:p>
      <w:pPr>
        <w:pStyle w:val="25"/>
        <w:spacing w:line="400" w:lineRule="exact"/>
        <w:ind w:firstLine="840"/>
        <w:rPr>
          <w:rFonts w:hAnsi="宋体"/>
          <w:color w:val="auto"/>
          <w:highlight w:val="none"/>
        </w:rPr>
      </w:pPr>
    </w:p>
    <w:p>
      <w:pPr>
        <w:pStyle w:val="25"/>
        <w:spacing w:line="400" w:lineRule="exact"/>
        <w:ind w:firstLine="840"/>
        <w:rPr>
          <w:rFonts w:hAnsi="宋体"/>
          <w:color w:val="auto"/>
          <w:highlight w:val="none"/>
        </w:rPr>
      </w:pPr>
      <w:r>
        <w:rPr>
          <w:rFonts w:hint="eastAsia" w:hAnsi="宋体"/>
          <w:color w:val="auto"/>
          <w:highlight w:val="none"/>
        </w:rPr>
        <w:t>开户银行：帐号/行号：</w:t>
      </w: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 xml:space="preserve">附件二             </w:t>
      </w:r>
    </w:p>
    <w:p>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报  价  表</w:t>
      </w:r>
    </w:p>
    <w:p>
      <w:pPr>
        <w:spacing w:line="300" w:lineRule="auto"/>
        <w:rPr>
          <w:rFonts w:ascii="宋体" w:hAnsi="宋体"/>
          <w:color w:val="auto"/>
          <w:szCs w:val="21"/>
          <w:highlight w:val="none"/>
        </w:rPr>
      </w:pPr>
    </w:p>
    <w:p>
      <w:pPr>
        <w:spacing w:line="400" w:lineRule="exact"/>
        <w:rPr>
          <w:rFonts w:ascii="宋体" w:hAnsi="宋体"/>
          <w:color w:val="auto"/>
          <w:szCs w:val="21"/>
          <w:highlight w:val="none"/>
          <w:u w:val="single"/>
        </w:rPr>
      </w:pPr>
      <w:r>
        <w:rPr>
          <w:rFonts w:hint="eastAsia" w:ascii="宋体" w:hAnsi="宋体"/>
          <w:color w:val="auto"/>
          <w:szCs w:val="21"/>
          <w:highlight w:val="none"/>
        </w:rPr>
        <w:t>采购项目编号:</w:t>
      </w:r>
    </w:p>
    <w:p>
      <w:pPr>
        <w:spacing w:line="400" w:lineRule="exact"/>
        <w:rPr>
          <w:rFonts w:ascii="宋体" w:hAnsi="宋体"/>
          <w:color w:val="auto"/>
          <w:szCs w:val="21"/>
          <w:highlight w:val="none"/>
        </w:rPr>
      </w:pPr>
      <w:r>
        <w:rPr>
          <w:rFonts w:hint="eastAsia" w:ascii="宋体" w:hAnsi="宋体"/>
          <w:color w:val="auto"/>
          <w:szCs w:val="21"/>
          <w:highlight w:val="none"/>
        </w:rPr>
        <w:t>采购项目名称:</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r>
        <w:rPr>
          <w:rFonts w:hint="eastAsia"/>
          <w:color w:val="auto"/>
          <w:highlight w:val="none"/>
          <w:u w:val="single"/>
        </w:rPr>
        <w:t>　　</w:t>
      </w:r>
      <w:r>
        <w:rPr>
          <w:rFonts w:hint="eastAsia"/>
          <w:color w:val="auto"/>
          <w:highlight w:val="none"/>
        </w:rPr>
        <w:t>分标（有分标时填写）</w:t>
      </w:r>
    </w:p>
    <w:tbl>
      <w:tblPr>
        <w:tblStyle w:val="49"/>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7"/>
        <w:gridCol w:w="2987"/>
        <w:gridCol w:w="1030"/>
        <w:gridCol w:w="40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
                <w:color w:val="auto"/>
                <w:szCs w:val="21"/>
                <w:highlight w:val="none"/>
              </w:rPr>
            </w:pPr>
            <w:r>
              <w:rPr>
                <w:rFonts w:hint="eastAsia" w:ascii="宋体" w:hAnsi="宋体"/>
                <w:b/>
                <w:color w:val="auto"/>
                <w:szCs w:val="21"/>
                <w:highlight w:val="none"/>
              </w:rPr>
              <w:t>项号</w:t>
            </w:r>
          </w:p>
        </w:tc>
        <w:tc>
          <w:tcPr>
            <w:tcW w:w="298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
                <w:color w:val="auto"/>
                <w:szCs w:val="21"/>
                <w:highlight w:val="none"/>
              </w:rPr>
            </w:pPr>
            <w:r>
              <w:rPr>
                <w:rFonts w:hint="eastAsia" w:ascii="宋体" w:hAnsi="宋体"/>
                <w:b/>
                <w:color w:val="auto"/>
                <w:szCs w:val="21"/>
                <w:highlight w:val="none"/>
              </w:rPr>
              <w:t>名称</w:t>
            </w: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
                <w:color w:val="auto"/>
                <w:szCs w:val="21"/>
                <w:highlight w:val="none"/>
              </w:rPr>
            </w:pPr>
            <w:r>
              <w:rPr>
                <w:rFonts w:hint="eastAsia" w:ascii="宋体" w:hAnsi="宋体"/>
                <w:b/>
                <w:color w:val="auto"/>
                <w:szCs w:val="21"/>
                <w:highlight w:val="none"/>
              </w:rPr>
              <w:t>数量</w:t>
            </w:r>
          </w:p>
        </w:tc>
        <w:tc>
          <w:tcPr>
            <w:tcW w:w="40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
                <w:color w:val="auto"/>
                <w:szCs w:val="21"/>
                <w:highlight w:val="none"/>
              </w:rPr>
            </w:pPr>
            <w:r>
              <w:rPr>
                <w:rFonts w:hint="eastAsia" w:ascii="宋体" w:hAnsi="宋体"/>
                <w:b/>
                <w:color w:val="auto"/>
                <w:szCs w:val="21"/>
                <w:highlight w:val="none"/>
              </w:rPr>
              <w:t>投标报价（元）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2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40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00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color w:val="auto"/>
                <w:szCs w:val="21"/>
                <w:highlight w:val="none"/>
              </w:rPr>
            </w:pPr>
            <w:r>
              <w:rPr>
                <w:rFonts w:hint="eastAsia" w:ascii="宋体" w:hAnsi="宋体"/>
                <w:color w:val="auto"/>
                <w:szCs w:val="21"/>
                <w:highlight w:val="none"/>
              </w:rPr>
              <w:t>服务期：</w:t>
            </w:r>
          </w:p>
        </w:tc>
      </w:tr>
    </w:tbl>
    <w:p>
      <w:pPr>
        <w:pStyle w:val="25"/>
        <w:rPr>
          <w:b/>
          <w:color w:val="auto"/>
          <w:highlight w:val="none"/>
        </w:rPr>
      </w:pPr>
    </w:p>
    <w:p>
      <w:pPr>
        <w:pStyle w:val="25"/>
        <w:spacing w:line="400" w:lineRule="exact"/>
        <w:rPr>
          <w:rFonts w:hAnsi="宋体"/>
          <w:color w:val="auto"/>
          <w:highlight w:val="none"/>
        </w:rPr>
      </w:pPr>
      <w:bookmarkStart w:id="7" w:name="_Toc356979893"/>
      <w:bookmarkStart w:id="8" w:name="_Toc356165644"/>
    </w:p>
    <w:p>
      <w:pPr>
        <w:pStyle w:val="25"/>
        <w:rPr>
          <w:color w:val="auto"/>
          <w:highlight w:val="none"/>
        </w:rPr>
      </w:pPr>
      <w:r>
        <w:rPr>
          <w:rFonts w:hint="eastAsia"/>
          <w:color w:val="auto"/>
          <w:highlight w:val="none"/>
        </w:rPr>
        <w:t>......</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供应商（公章）：</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法定代表人或委托代理人签字：</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日 期：</w:t>
      </w:r>
    </w:p>
    <w:p>
      <w:pPr>
        <w:rPr>
          <w:color w:val="auto"/>
          <w:highlight w:val="none"/>
        </w:rPr>
      </w:pPr>
    </w:p>
    <w:p>
      <w:pPr>
        <w:rPr>
          <w:color w:val="auto"/>
          <w:highlight w:val="none"/>
        </w:rPr>
      </w:pPr>
    </w:p>
    <w:p>
      <w:pPr>
        <w:rPr>
          <w:color w:val="auto"/>
          <w:highlight w:val="none"/>
        </w:rPr>
      </w:pPr>
    </w:p>
    <w:p>
      <w:pPr>
        <w:rPr>
          <w:color w:val="auto"/>
          <w:highlight w:val="none"/>
        </w:rPr>
      </w:pPr>
    </w:p>
    <w:bookmarkEnd w:id="7"/>
    <w:bookmarkEnd w:id="8"/>
    <w:p>
      <w:pPr>
        <w:spacing w:line="300" w:lineRule="auto"/>
        <w:rPr>
          <w:rFonts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附件三</w:t>
      </w:r>
    </w:p>
    <w:p>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服务响应偏离情况说明表</w:t>
      </w:r>
    </w:p>
    <w:p>
      <w:pPr>
        <w:spacing w:line="300" w:lineRule="auto"/>
        <w:rPr>
          <w:rFonts w:ascii="宋体" w:hAnsi="宋体"/>
          <w:color w:val="auto"/>
          <w:szCs w:val="21"/>
          <w:highlight w:val="none"/>
        </w:rPr>
      </w:pPr>
    </w:p>
    <w:p>
      <w:pPr>
        <w:spacing w:line="300" w:lineRule="auto"/>
        <w:rPr>
          <w:rFonts w:ascii="宋体" w:hAnsi="宋体"/>
          <w:color w:val="auto"/>
          <w:szCs w:val="21"/>
          <w:highlight w:val="none"/>
          <w:u w:val="single"/>
        </w:rPr>
      </w:pPr>
      <w:r>
        <w:rPr>
          <w:rFonts w:hint="eastAsia" w:ascii="宋体" w:hAnsi="宋体"/>
          <w:color w:val="auto"/>
          <w:szCs w:val="21"/>
          <w:highlight w:val="none"/>
        </w:rPr>
        <w:t>采购项目编号:</w:t>
      </w:r>
    </w:p>
    <w:p>
      <w:pPr>
        <w:pStyle w:val="25"/>
        <w:spacing w:line="600" w:lineRule="exact"/>
        <w:rPr>
          <w:rFonts w:hAnsi="宋体"/>
          <w:color w:val="auto"/>
          <w:highlight w:val="none"/>
        </w:rPr>
      </w:pPr>
      <w:r>
        <w:rPr>
          <w:rFonts w:hint="eastAsia" w:hAnsi="宋体"/>
          <w:color w:val="auto"/>
          <w:highlight w:val="none"/>
        </w:rPr>
        <w:t>采购项目名称:</w:t>
      </w:r>
    </w:p>
    <w:p>
      <w:pPr>
        <w:pStyle w:val="25"/>
        <w:spacing w:line="600" w:lineRule="exact"/>
        <w:rPr>
          <w:rFonts w:ascii="Times New Roman" w:hAnsi="Times New Roman"/>
          <w:color w:val="auto"/>
          <w:highlight w:val="none"/>
        </w:rPr>
      </w:pPr>
      <w:r>
        <w:rPr>
          <w:rFonts w:hint="eastAsia" w:ascii="Times New Roman" w:hAnsi="Times New Roman"/>
          <w:color w:val="auto"/>
          <w:highlight w:val="none"/>
          <w:u w:val="single"/>
        </w:rPr>
        <w:t>　　</w:t>
      </w:r>
      <w:r>
        <w:rPr>
          <w:rFonts w:hint="eastAsia" w:ascii="Times New Roman" w:hAnsi="Times New Roman"/>
          <w:color w:val="auto"/>
          <w:highlight w:val="none"/>
        </w:rPr>
        <w:t>分标</w:t>
      </w:r>
      <w:r>
        <w:rPr>
          <w:rFonts w:hint="eastAsia"/>
          <w:color w:val="auto"/>
          <w:highlight w:val="none"/>
        </w:rPr>
        <w:t>（有分标时填写）</w:t>
      </w:r>
    </w:p>
    <w:tbl>
      <w:tblPr>
        <w:tblStyle w:val="4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316"/>
        <w:gridCol w:w="2256"/>
        <w:gridCol w:w="2256"/>
        <w:gridCol w:w="1188"/>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项号</w:t>
            </w:r>
          </w:p>
        </w:tc>
        <w:tc>
          <w:tcPr>
            <w:tcW w:w="1316"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服务名称</w:t>
            </w:r>
          </w:p>
        </w:tc>
        <w:tc>
          <w:tcPr>
            <w:tcW w:w="2256"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服务要求</w:t>
            </w:r>
          </w:p>
        </w:tc>
        <w:tc>
          <w:tcPr>
            <w:tcW w:w="2256"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竞标响应情况</w:t>
            </w:r>
          </w:p>
        </w:tc>
        <w:tc>
          <w:tcPr>
            <w:tcW w:w="1188"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偏离</w:t>
            </w:r>
          </w:p>
        </w:tc>
        <w:tc>
          <w:tcPr>
            <w:tcW w:w="1145"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pPr>
              <w:pStyle w:val="25"/>
              <w:spacing w:line="360" w:lineRule="auto"/>
              <w:jc w:val="center"/>
              <w:rPr>
                <w:rFonts w:hAnsi="宋体" w:cs="Times New Roman"/>
                <w:color w:val="auto"/>
                <w:highlight w:val="none"/>
              </w:rPr>
            </w:pPr>
          </w:p>
        </w:tc>
        <w:tc>
          <w:tcPr>
            <w:tcW w:w="131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5" w:type="dxa"/>
            <w:vAlign w:val="center"/>
          </w:tcPr>
          <w:p>
            <w:pPr>
              <w:pStyle w:val="25"/>
              <w:spacing w:line="360" w:lineRule="auto"/>
              <w:jc w:val="center"/>
              <w:rPr>
                <w:rFonts w:hAns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pPr>
              <w:pStyle w:val="25"/>
              <w:spacing w:line="360" w:lineRule="auto"/>
              <w:jc w:val="center"/>
              <w:rPr>
                <w:rFonts w:hAnsi="宋体" w:cs="Times New Roman"/>
                <w:color w:val="auto"/>
                <w:highlight w:val="none"/>
              </w:rPr>
            </w:pPr>
          </w:p>
        </w:tc>
        <w:tc>
          <w:tcPr>
            <w:tcW w:w="131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5" w:type="dxa"/>
            <w:vAlign w:val="center"/>
          </w:tcPr>
          <w:p>
            <w:pPr>
              <w:pStyle w:val="25"/>
              <w:spacing w:line="360" w:lineRule="auto"/>
              <w:jc w:val="center"/>
              <w:rPr>
                <w:rFonts w:hAns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pPr>
              <w:pStyle w:val="25"/>
              <w:spacing w:line="360" w:lineRule="auto"/>
              <w:jc w:val="center"/>
              <w:rPr>
                <w:rFonts w:hAnsi="宋体" w:cs="Times New Roman"/>
                <w:color w:val="auto"/>
                <w:highlight w:val="none"/>
              </w:rPr>
            </w:pPr>
          </w:p>
        </w:tc>
        <w:tc>
          <w:tcPr>
            <w:tcW w:w="131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5" w:type="dxa"/>
            <w:vAlign w:val="center"/>
          </w:tcPr>
          <w:p>
            <w:pPr>
              <w:pStyle w:val="25"/>
              <w:spacing w:line="360" w:lineRule="auto"/>
              <w:jc w:val="center"/>
              <w:rPr>
                <w:rFonts w:hAns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pPr>
              <w:pStyle w:val="25"/>
              <w:spacing w:line="360" w:lineRule="auto"/>
              <w:jc w:val="center"/>
              <w:rPr>
                <w:rFonts w:hAnsi="宋体" w:cs="Times New Roman"/>
                <w:color w:val="auto"/>
                <w:highlight w:val="none"/>
              </w:rPr>
            </w:pPr>
          </w:p>
        </w:tc>
        <w:tc>
          <w:tcPr>
            <w:tcW w:w="131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5" w:type="dxa"/>
            <w:vAlign w:val="center"/>
          </w:tcPr>
          <w:p>
            <w:pPr>
              <w:pStyle w:val="25"/>
              <w:spacing w:line="360" w:lineRule="auto"/>
              <w:jc w:val="center"/>
              <w:rPr>
                <w:rFonts w:hAnsi="宋体" w:cs="MingLiU_HKSCS"/>
                <w:color w:val="auto"/>
                <w:highlight w:val="none"/>
              </w:rPr>
            </w:pPr>
          </w:p>
        </w:tc>
      </w:tr>
    </w:tbl>
    <w:p>
      <w:pPr>
        <w:pStyle w:val="25"/>
        <w:spacing w:line="400" w:lineRule="exact"/>
        <w:rPr>
          <w:rFonts w:hint="eastAsia" w:eastAsia="宋体"/>
          <w:color w:val="auto"/>
          <w:highlight w:val="none"/>
          <w:lang w:eastAsia="zh-CN"/>
        </w:rPr>
      </w:pPr>
      <w:r>
        <w:rPr>
          <w:rFonts w:hint="eastAsia" w:hAnsi="宋体"/>
          <w:color w:val="auto"/>
          <w:highlight w:val="none"/>
        </w:rPr>
        <w:t>说明：应对照谈判采购文件“第三章 项目需求”，逐条说明所提供货物或服务已对谈判采购文件的技术需求做出了实质性的响应，并申明与技术需求条文的响应和偏离</w:t>
      </w:r>
      <w:r>
        <w:rPr>
          <w:rFonts w:hint="eastAsia" w:hAnsi="宋体"/>
          <w:color w:val="auto"/>
          <w:highlight w:val="none"/>
          <w:lang w:eastAsia="zh-CN"/>
        </w:rPr>
        <w:t>，否则竞标无效。</w:t>
      </w:r>
    </w:p>
    <w:p>
      <w:pPr>
        <w:pStyle w:val="25"/>
        <w:spacing w:line="400" w:lineRule="exact"/>
        <w:rPr>
          <w:rFonts w:hAnsi="宋体"/>
          <w:color w:val="auto"/>
          <w:highlight w:val="none"/>
        </w:rPr>
      </w:pPr>
    </w:p>
    <w:p>
      <w:pPr>
        <w:pStyle w:val="25"/>
        <w:spacing w:line="600" w:lineRule="exact"/>
        <w:rPr>
          <w:rFonts w:ascii="Times New Roman" w:hAnsi="Times New Roman"/>
          <w:color w:val="auto"/>
          <w:highlight w:val="none"/>
        </w:rPr>
      </w:pPr>
      <w:r>
        <w:rPr>
          <w:rFonts w:hint="eastAsia" w:ascii="Times New Roman" w:hAnsi="Times New Roman"/>
          <w:color w:val="auto"/>
          <w:highlight w:val="none"/>
          <w:u w:val="single"/>
        </w:rPr>
        <w:t>　　</w:t>
      </w:r>
      <w:r>
        <w:rPr>
          <w:rFonts w:hint="eastAsia" w:ascii="Times New Roman" w:hAnsi="Times New Roman"/>
          <w:color w:val="auto"/>
          <w:highlight w:val="none"/>
        </w:rPr>
        <w:t>分标</w:t>
      </w:r>
      <w:r>
        <w:rPr>
          <w:rFonts w:hint="eastAsia"/>
          <w:color w:val="auto"/>
          <w:highlight w:val="none"/>
        </w:rPr>
        <w:t>（有分标时填写）</w:t>
      </w:r>
    </w:p>
    <w:p>
      <w:pPr>
        <w:pStyle w:val="25"/>
        <w:rPr>
          <w:color w:val="auto"/>
          <w:highlight w:val="none"/>
        </w:rPr>
      </w:pPr>
      <w:r>
        <w:rPr>
          <w:rFonts w:hint="eastAsia"/>
          <w:color w:val="auto"/>
          <w:highlight w:val="none"/>
        </w:rPr>
        <w:t>......</w:t>
      </w:r>
    </w:p>
    <w:p>
      <w:pPr>
        <w:pStyle w:val="25"/>
        <w:spacing w:line="360" w:lineRule="auto"/>
        <w:rPr>
          <w:rFonts w:hAnsi="宋体" w:cs="Times New Roman"/>
          <w:color w:val="auto"/>
          <w:highlight w:val="none"/>
        </w:rPr>
      </w:pPr>
    </w:p>
    <w:p>
      <w:pPr>
        <w:pStyle w:val="25"/>
        <w:spacing w:line="300" w:lineRule="auto"/>
        <w:rPr>
          <w:rFonts w:hAnsi="宋体"/>
          <w:color w:val="auto"/>
          <w:highlight w:val="none"/>
        </w:rPr>
      </w:pPr>
    </w:p>
    <w:p>
      <w:pPr>
        <w:pStyle w:val="25"/>
        <w:spacing w:line="300" w:lineRule="auto"/>
        <w:rPr>
          <w:rFonts w:hAnsi="宋体"/>
          <w:color w:val="auto"/>
          <w:highlight w:val="none"/>
        </w:rPr>
      </w:pP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法定代表人或被授权人（签字）:</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供应商名称（公章）：</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 xml:space="preserve">日 期：    年  月  日 </w:t>
      </w:r>
    </w:p>
    <w:p>
      <w:pPr>
        <w:pStyle w:val="25"/>
        <w:spacing w:line="400" w:lineRule="exact"/>
        <w:rPr>
          <w:rFonts w:hAnsi="宋体"/>
          <w:color w:val="auto"/>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b/>
          <w:color w:val="auto"/>
          <w:szCs w:val="21"/>
          <w:highlight w:val="none"/>
        </w:rPr>
      </w:pPr>
      <w:r>
        <w:rPr>
          <w:rFonts w:ascii="宋体" w:hAnsi="宋体"/>
          <w:color w:val="auto"/>
          <w:szCs w:val="21"/>
          <w:highlight w:val="none"/>
        </w:rPr>
        <w:br w:type="page"/>
      </w:r>
    </w:p>
    <w:p>
      <w:pPr>
        <w:spacing w:line="300" w:lineRule="auto"/>
        <w:rPr>
          <w:rFonts w:ascii="宋体" w:hAnsi="宋体"/>
          <w:b/>
          <w:color w:val="auto"/>
          <w:szCs w:val="21"/>
          <w:highlight w:val="none"/>
        </w:rPr>
      </w:pPr>
      <w:r>
        <w:rPr>
          <w:rFonts w:hint="eastAsia" w:ascii="宋体" w:hAnsi="宋体"/>
          <w:b/>
          <w:color w:val="auto"/>
          <w:szCs w:val="21"/>
          <w:highlight w:val="none"/>
        </w:rPr>
        <w:t>附件四：</w:t>
      </w:r>
    </w:p>
    <w:p>
      <w:pPr>
        <w:spacing w:line="300" w:lineRule="auto"/>
        <w:rPr>
          <w:rFonts w:ascii="宋体" w:hAnsi="宋体"/>
          <w:b/>
          <w:color w:val="auto"/>
          <w:szCs w:val="21"/>
          <w:highlight w:val="none"/>
        </w:rPr>
      </w:pPr>
    </w:p>
    <w:p>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投入设备响应表</w:t>
      </w:r>
    </w:p>
    <w:p>
      <w:pPr>
        <w:spacing w:line="300" w:lineRule="auto"/>
        <w:rPr>
          <w:rFonts w:ascii="宋体" w:hAnsi="宋体"/>
          <w:color w:val="auto"/>
          <w:szCs w:val="21"/>
          <w:highlight w:val="none"/>
        </w:rPr>
      </w:pPr>
    </w:p>
    <w:p>
      <w:pPr>
        <w:spacing w:line="300" w:lineRule="auto"/>
        <w:rPr>
          <w:rFonts w:ascii="宋体" w:hAnsi="宋体"/>
          <w:color w:val="auto"/>
          <w:szCs w:val="21"/>
          <w:highlight w:val="none"/>
          <w:u w:val="single"/>
        </w:rPr>
      </w:pPr>
      <w:r>
        <w:rPr>
          <w:rFonts w:hint="eastAsia" w:ascii="宋体" w:hAnsi="宋体"/>
          <w:color w:val="auto"/>
          <w:szCs w:val="21"/>
          <w:highlight w:val="none"/>
        </w:rPr>
        <w:t>采购项目编号:</w:t>
      </w:r>
    </w:p>
    <w:p>
      <w:pPr>
        <w:spacing w:line="300" w:lineRule="auto"/>
        <w:rPr>
          <w:rFonts w:ascii="宋体" w:hAnsi="宋体"/>
          <w:color w:val="auto"/>
          <w:szCs w:val="21"/>
          <w:highlight w:val="none"/>
        </w:rPr>
      </w:pPr>
      <w:r>
        <w:rPr>
          <w:rFonts w:hint="eastAsia" w:ascii="宋体" w:hAnsi="宋体"/>
          <w:color w:val="auto"/>
          <w:szCs w:val="21"/>
          <w:highlight w:val="none"/>
        </w:rPr>
        <w:t>采购项目名称:</w:t>
      </w:r>
    </w:p>
    <w:tbl>
      <w:tblPr>
        <w:tblStyle w:val="4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676"/>
        <w:gridCol w:w="1896"/>
        <w:gridCol w:w="2256"/>
        <w:gridCol w:w="1188"/>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项号</w:t>
            </w:r>
          </w:p>
        </w:tc>
        <w:tc>
          <w:tcPr>
            <w:tcW w:w="1676"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投入设备名称</w:t>
            </w:r>
          </w:p>
        </w:tc>
        <w:tc>
          <w:tcPr>
            <w:tcW w:w="1896"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采购文件要求</w:t>
            </w:r>
          </w:p>
        </w:tc>
        <w:tc>
          <w:tcPr>
            <w:tcW w:w="2256"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竞标响应情况</w:t>
            </w:r>
          </w:p>
        </w:tc>
        <w:tc>
          <w:tcPr>
            <w:tcW w:w="1188"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偏离</w:t>
            </w:r>
          </w:p>
        </w:tc>
        <w:tc>
          <w:tcPr>
            <w:tcW w:w="1143"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pStyle w:val="25"/>
              <w:spacing w:line="360" w:lineRule="auto"/>
              <w:jc w:val="center"/>
              <w:rPr>
                <w:rFonts w:hAnsi="宋体" w:cs="Times New Roman"/>
                <w:color w:val="auto"/>
                <w:highlight w:val="none"/>
              </w:rPr>
            </w:pPr>
          </w:p>
        </w:tc>
        <w:tc>
          <w:tcPr>
            <w:tcW w:w="1676" w:type="dxa"/>
            <w:vAlign w:val="center"/>
          </w:tcPr>
          <w:p>
            <w:pPr>
              <w:pStyle w:val="25"/>
              <w:spacing w:line="360" w:lineRule="auto"/>
              <w:jc w:val="center"/>
              <w:rPr>
                <w:rFonts w:hAnsi="宋体" w:cs="Times New Roman"/>
                <w:color w:val="auto"/>
                <w:highlight w:val="none"/>
              </w:rPr>
            </w:pPr>
          </w:p>
        </w:tc>
        <w:tc>
          <w:tcPr>
            <w:tcW w:w="189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3" w:type="dxa"/>
            <w:vAlign w:val="center"/>
          </w:tcPr>
          <w:p>
            <w:pPr>
              <w:pStyle w:val="25"/>
              <w:spacing w:line="360" w:lineRule="auto"/>
              <w:jc w:val="center"/>
              <w:rPr>
                <w:rFonts w:hAns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pStyle w:val="25"/>
              <w:spacing w:line="360" w:lineRule="auto"/>
              <w:jc w:val="center"/>
              <w:rPr>
                <w:rFonts w:hAnsi="宋体" w:cs="Times New Roman"/>
                <w:color w:val="auto"/>
                <w:highlight w:val="none"/>
              </w:rPr>
            </w:pPr>
          </w:p>
        </w:tc>
        <w:tc>
          <w:tcPr>
            <w:tcW w:w="1676" w:type="dxa"/>
            <w:vAlign w:val="center"/>
          </w:tcPr>
          <w:p>
            <w:pPr>
              <w:pStyle w:val="25"/>
              <w:spacing w:line="360" w:lineRule="auto"/>
              <w:jc w:val="center"/>
              <w:rPr>
                <w:rFonts w:hAnsi="宋体" w:cs="Times New Roman"/>
                <w:color w:val="auto"/>
                <w:highlight w:val="none"/>
              </w:rPr>
            </w:pPr>
          </w:p>
        </w:tc>
        <w:tc>
          <w:tcPr>
            <w:tcW w:w="189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3" w:type="dxa"/>
            <w:vAlign w:val="center"/>
          </w:tcPr>
          <w:p>
            <w:pPr>
              <w:pStyle w:val="25"/>
              <w:spacing w:line="360" w:lineRule="auto"/>
              <w:jc w:val="center"/>
              <w:rPr>
                <w:rFonts w:hAns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pStyle w:val="25"/>
              <w:spacing w:line="360" w:lineRule="auto"/>
              <w:jc w:val="center"/>
              <w:rPr>
                <w:rFonts w:hAnsi="宋体" w:cs="Times New Roman"/>
                <w:color w:val="auto"/>
                <w:highlight w:val="none"/>
              </w:rPr>
            </w:pPr>
          </w:p>
        </w:tc>
        <w:tc>
          <w:tcPr>
            <w:tcW w:w="1676" w:type="dxa"/>
            <w:vAlign w:val="center"/>
          </w:tcPr>
          <w:p>
            <w:pPr>
              <w:pStyle w:val="25"/>
              <w:spacing w:line="360" w:lineRule="auto"/>
              <w:jc w:val="center"/>
              <w:rPr>
                <w:rFonts w:hAnsi="宋体" w:cs="Times New Roman"/>
                <w:color w:val="auto"/>
                <w:highlight w:val="none"/>
              </w:rPr>
            </w:pPr>
          </w:p>
        </w:tc>
        <w:tc>
          <w:tcPr>
            <w:tcW w:w="189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3" w:type="dxa"/>
            <w:vAlign w:val="center"/>
          </w:tcPr>
          <w:p>
            <w:pPr>
              <w:pStyle w:val="25"/>
              <w:spacing w:line="360" w:lineRule="auto"/>
              <w:jc w:val="center"/>
              <w:rPr>
                <w:rFonts w:hAns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pStyle w:val="25"/>
              <w:spacing w:line="360" w:lineRule="auto"/>
              <w:jc w:val="center"/>
              <w:rPr>
                <w:rFonts w:hAnsi="宋体" w:cs="Times New Roman"/>
                <w:color w:val="auto"/>
                <w:highlight w:val="none"/>
              </w:rPr>
            </w:pPr>
          </w:p>
        </w:tc>
        <w:tc>
          <w:tcPr>
            <w:tcW w:w="1676" w:type="dxa"/>
            <w:vAlign w:val="center"/>
          </w:tcPr>
          <w:p>
            <w:pPr>
              <w:pStyle w:val="25"/>
              <w:spacing w:line="360" w:lineRule="auto"/>
              <w:jc w:val="center"/>
              <w:rPr>
                <w:rFonts w:hAnsi="宋体" w:cs="Times New Roman"/>
                <w:color w:val="auto"/>
                <w:highlight w:val="none"/>
              </w:rPr>
            </w:pPr>
          </w:p>
        </w:tc>
        <w:tc>
          <w:tcPr>
            <w:tcW w:w="189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3" w:type="dxa"/>
            <w:vAlign w:val="center"/>
          </w:tcPr>
          <w:p>
            <w:pPr>
              <w:pStyle w:val="25"/>
              <w:spacing w:line="360" w:lineRule="auto"/>
              <w:jc w:val="center"/>
              <w:rPr>
                <w:rFonts w:hAnsi="宋体" w:cs="MingLiU_HKSCS"/>
                <w:color w:val="auto"/>
                <w:highlight w:val="none"/>
              </w:rPr>
            </w:pPr>
          </w:p>
        </w:tc>
      </w:tr>
    </w:tbl>
    <w:p>
      <w:pPr>
        <w:pStyle w:val="25"/>
        <w:rPr>
          <w:color w:val="auto"/>
          <w:highlight w:val="none"/>
        </w:rPr>
      </w:pPr>
    </w:p>
    <w:p>
      <w:pPr>
        <w:pStyle w:val="25"/>
        <w:spacing w:line="300" w:lineRule="auto"/>
        <w:rPr>
          <w:rFonts w:hAnsi="宋体"/>
          <w:color w:val="auto"/>
          <w:highlight w:val="none"/>
        </w:rPr>
      </w:pPr>
    </w:p>
    <w:p>
      <w:pPr>
        <w:pStyle w:val="25"/>
        <w:spacing w:line="300" w:lineRule="auto"/>
        <w:rPr>
          <w:rFonts w:hAnsi="宋体"/>
          <w:color w:val="auto"/>
          <w:highlight w:val="none"/>
        </w:rPr>
      </w:pPr>
    </w:p>
    <w:p>
      <w:pPr>
        <w:pStyle w:val="25"/>
        <w:spacing w:line="300" w:lineRule="auto"/>
        <w:rPr>
          <w:rFonts w:hAnsi="宋体"/>
          <w:color w:val="auto"/>
          <w:highlight w:val="none"/>
        </w:rPr>
      </w:pPr>
    </w:p>
    <w:p>
      <w:pPr>
        <w:pStyle w:val="25"/>
        <w:spacing w:line="300" w:lineRule="auto"/>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法定代表人或被授权人（签字）:</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供应商名称（公章）：</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 xml:space="preserve">日  期：      年   月   日 </w:t>
      </w:r>
    </w:p>
    <w:p>
      <w:pPr>
        <w:spacing w:line="300" w:lineRule="auto"/>
        <w:jc w:val="center"/>
        <w:rPr>
          <w:rFonts w:ascii="宋体" w:hAnsi="宋体"/>
          <w:color w:val="auto"/>
          <w:szCs w:val="21"/>
          <w:highlight w:val="none"/>
          <w:u w:val="single"/>
        </w:rPr>
      </w:pPr>
      <w:r>
        <w:rPr>
          <w:rFonts w:ascii="宋体" w:hAnsi="宋体"/>
          <w:color w:val="auto"/>
          <w:szCs w:val="21"/>
          <w:highlight w:val="none"/>
        </w:rPr>
        <w:br w:type="page"/>
      </w:r>
      <w:r>
        <w:rPr>
          <w:rFonts w:ascii="宋体" w:hAnsi="宋体"/>
          <w:b/>
          <w:color w:val="auto"/>
          <w:sz w:val="32"/>
          <w:szCs w:val="32"/>
          <w:highlight w:val="none"/>
        </w:rPr>
        <w:t>服务承诺</w:t>
      </w:r>
    </w:p>
    <w:p>
      <w:pPr>
        <w:spacing w:line="300" w:lineRule="auto"/>
        <w:jc w:val="center"/>
        <w:rPr>
          <w:rFonts w:ascii="宋体" w:hAnsi="宋体"/>
          <w:b/>
          <w:color w:val="auto"/>
          <w:szCs w:val="21"/>
          <w:highlight w:val="none"/>
        </w:rPr>
      </w:pPr>
      <w:r>
        <w:rPr>
          <w:rFonts w:hint="eastAsia" w:ascii="宋体" w:hAnsi="宋体"/>
          <w:color w:val="auto"/>
          <w:szCs w:val="21"/>
          <w:highlight w:val="none"/>
        </w:rPr>
        <w:t>（请结合第三章“项目需求”中的服务内容要求及承诺内容要求自行编写）</w:t>
      </w:r>
    </w:p>
    <w:p>
      <w:pPr>
        <w:spacing w:line="300" w:lineRule="auto"/>
        <w:rPr>
          <w:rFonts w:ascii="宋体" w:hAnsi="宋体"/>
          <w:b/>
          <w:color w:val="auto"/>
          <w:szCs w:val="21"/>
          <w:highlight w:val="none"/>
        </w:rPr>
      </w:pPr>
      <w:r>
        <w:rPr>
          <w:rFonts w:ascii="宋体" w:hAnsi="宋体"/>
          <w:b/>
          <w:color w:val="auto"/>
          <w:szCs w:val="21"/>
          <w:highlight w:val="none"/>
        </w:rPr>
        <w:br w:type="page"/>
      </w:r>
    </w:p>
    <w:p>
      <w:pPr>
        <w:spacing w:line="300" w:lineRule="auto"/>
        <w:rPr>
          <w:rFonts w:ascii="宋体" w:hAnsi="宋体"/>
          <w:b/>
          <w:color w:val="auto"/>
          <w:szCs w:val="21"/>
          <w:highlight w:val="none"/>
        </w:rPr>
      </w:pPr>
      <w:r>
        <w:rPr>
          <w:rFonts w:hint="eastAsia" w:ascii="宋体" w:hAnsi="宋体"/>
          <w:b/>
          <w:color w:val="auto"/>
          <w:szCs w:val="21"/>
          <w:highlight w:val="none"/>
        </w:rPr>
        <w:t>附件五</w:t>
      </w:r>
    </w:p>
    <w:p>
      <w:pPr>
        <w:pStyle w:val="25"/>
        <w:spacing w:line="440" w:lineRule="exact"/>
        <w:jc w:val="center"/>
        <w:rPr>
          <w:b/>
          <w:color w:val="auto"/>
          <w:sz w:val="32"/>
          <w:szCs w:val="32"/>
          <w:highlight w:val="none"/>
        </w:rPr>
      </w:pPr>
      <w:r>
        <w:rPr>
          <w:rFonts w:hint="eastAsia"/>
          <w:b/>
          <w:color w:val="auto"/>
          <w:sz w:val="32"/>
          <w:szCs w:val="32"/>
          <w:highlight w:val="none"/>
        </w:rPr>
        <w:t>法定代表人身份证明书</w:t>
      </w:r>
    </w:p>
    <w:p>
      <w:pPr>
        <w:pStyle w:val="25"/>
        <w:spacing w:line="460" w:lineRule="exact"/>
        <w:ind w:firstLine="542" w:firstLineChars="257"/>
        <w:jc w:val="center"/>
        <w:rPr>
          <w:b/>
          <w:color w:val="auto"/>
          <w:highlight w:val="none"/>
        </w:rPr>
      </w:pPr>
    </w:p>
    <w:p>
      <w:pPr>
        <w:spacing w:line="500" w:lineRule="exact"/>
        <w:rPr>
          <w:rFonts w:ascii="宋体" w:hAnsi="宋体"/>
          <w:color w:val="auto"/>
          <w:szCs w:val="21"/>
          <w:highlight w:val="none"/>
        </w:rPr>
      </w:pPr>
      <w:r>
        <w:rPr>
          <w:rFonts w:hint="eastAsia" w:ascii="宋体" w:hAnsi="宋体"/>
          <w:color w:val="auto"/>
          <w:szCs w:val="21"/>
          <w:highlight w:val="none"/>
        </w:rPr>
        <w:t>供应商：</w:t>
      </w:r>
    </w:p>
    <w:p>
      <w:pPr>
        <w:spacing w:line="500" w:lineRule="exact"/>
        <w:rPr>
          <w:rFonts w:ascii="宋体" w:hAnsi="宋体"/>
          <w:color w:val="auto"/>
          <w:szCs w:val="21"/>
          <w:highlight w:val="none"/>
        </w:rPr>
      </w:pPr>
      <w:r>
        <w:rPr>
          <w:rFonts w:hint="eastAsia" w:ascii="宋体" w:hAnsi="宋体"/>
          <w:color w:val="auto"/>
          <w:szCs w:val="21"/>
          <w:highlight w:val="none"/>
        </w:rPr>
        <w:t>单位性质：</w:t>
      </w:r>
    </w:p>
    <w:p>
      <w:pPr>
        <w:spacing w:line="500" w:lineRule="exact"/>
        <w:rPr>
          <w:rFonts w:ascii="宋体" w:hAnsi="宋体"/>
          <w:color w:val="auto"/>
          <w:szCs w:val="21"/>
          <w:highlight w:val="none"/>
        </w:rPr>
      </w:pPr>
      <w:r>
        <w:rPr>
          <w:rFonts w:hint="eastAsia" w:ascii="宋体" w:hAnsi="宋体"/>
          <w:color w:val="auto"/>
          <w:szCs w:val="21"/>
          <w:highlight w:val="none"/>
        </w:rPr>
        <w:t>地    址：</w:t>
      </w:r>
    </w:p>
    <w:p>
      <w:pPr>
        <w:spacing w:line="500" w:lineRule="exact"/>
        <w:rPr>
          <w:rFonts w:ascii="宋体" w:hAnsi="宋体"/>
          <w:color w:val="auto"/>
          <w:szCs w:val="21"/>
          <w:highlight w:val="none"/>
        </w:rPr>
      </w:pPr>
      <w:r>
        <w:rPr>
          <w:rFonts w:hint="eastAsia" w:ascii="宋体" w:hAnsi="宋体"/>
          <w:color w:val="auto"/>
          <w:szCs w:val="21"/>
          <w:highlight w:val="none"/>
        </w:rPr>
        <w:t>成立时间：      年  月  日</w:t>
      </w:r>
    </w:p>
    <w:p>
      <w:pPr>
        <w:spacing w:line="500" w:lineRule="exact"/>
        <w:rPr>
          <w:rFonts w:ascii="宋体" w:hAnsi="宋体"/>
          <w:color w:val="auto"/>
          <w:szCs w:val="21"/>
          <w:highlight w:val="none"/>
        </w:rPr>
      </w:pPr>
      <w:r>
        <w:rPr>
          <w:rFonts w:hint="eastAsia" w:ascii="宋体" w:hAnsi="宋体"/>
          <w:color w:val="auto"/>
          <w:szCs w:val="21"/>
          <w:highlight w:val="none"/>
        </w:rPr>
        <w:t>经营期限：</w:t>
      </w:r>
    </w:p>
    <w:p>
      <w:pPr>
        <w:spacing w:line="500" w:lineRule="exact"/>
        <w:rPr>
          <w:rFonts w:ascii="宋体" w:hAnsi="宋体"/>
          <w:color w:val="auto"/>
          <w:szCs w:val="21"/>
          <w:highlight w:val="none"/>
        </w:rPr>
      </w:pPr>
      <w:r>
        <w:rPr>
          <w:rFonts w:hint="eastAsia" w:ascii="宋体" w:hAnsi="宋体"/>
          <w:color w:val="auto"/>
          <w:szCs w:val="21"/>
          <w:highlight w:val="none"/>
        </w:rPr>
        <w:t>姓    名：性      别：</w:t>
      </w:r>
    </w:p>
    <w:p>
      <w:pPr>
        <w:spacing w:line="500" w:lineRule="exact"/>
        <w:rPr>
          <w:rFonts w:ascii="宋体" w:hAnsi="宋体"/>
          <w:color w:val="auto"/>
          <w:szCs w:val="21"/>
          <w:highlight w:val="none"/>
          <w:u w:val="single"/>
        </w:rPr>
      </w:pPr>
      <w:r>
        <w:rPr>
          <w:rFonts w:hint="eastAsia" w:ascii="宋体" w:hAnsi="宋体"/>
          <w:color w:val="auto"/>
          <w:szCs w:val="21"/>
          <w:highlight w:val="none"/>
        </w:rPr>
        <w:t>年    龄：职      务：</w:t>
      </w:r>
    </w:p>
    <w:p>
      <w:pPr>
        <w:spacing w:line="500" w:lineRule="exact"/>
        <w:rPr>
          <w:rFonts w:ascii="宋体" w:hAnsi="宋体"/>
          <w:color w:val="auto"/>
          <w:szCs w:val="21"/>
          <w:highlight w:val="none"/>
        </w:rPr>
      </w:pPr>
      <w:r>
        <w:rPr>
          <w:rFonts w:hint="eastAsia" w:ascii="宋体" w:hAnsi="宋体"/>
          <w:color w:val="auto"/>
          <w:szCs w:val="21"/>
          <w:highlight w:val="none"/>
        </w:rPr>
        <w:t>身份证</w:t>
      </w:r>
      <w:r>
        <w:rPr>
          <w:rFonts w:hint="eastAsia"/>
          <w:color w:val="auto"/>
          <w:szCs w:val="21"/>
          <w:highlight w:val="none"/>
        </w:rPr>
        <w:t>号码：</w:t>
      </w:r>
    </w:p>
    <w:p>
      <w:pPr>
        <w:spacing w:line="500" w:lineRule="exact"/>
        <w:rPr>
          <w:rFonts w:ascii="宋体" w:hAnsi="宋体"/>
          <w:color w:val="auto"/>
          <w:szCs w:val="21"/>
          <w:highlight w:val="none"/>
        </w:rPr>
      </w:pPr>
      <w:r>
        <w:rPr>
          <w:rFonts w:hint="eastAsia" w:ascii="宋体" w:hAnsi="宋体"/>
          <w:color w:val="auto"/>
          <w:szCs w:val="21"/>
          <w:highlight w:val="none"/>
        </w:rPr>
        <w:t>系（供应商名称）的法定代表人。</w:t>
      </w:r>
    </w:p>
    <w:p>
      <w:pPr>
        <w:pStyle w:val="25"/>
        <w:spacing w:line="460" w:lineRule="exact"/>
        <w:ind w:firstLine="539" w:firstLineChars="257"/>
        <w:rPr>
          <w:rFonts w:hAnsi="宋体"/>
          <w:color w:val="auto"/>
          <w:highlight w:val="none"/>
        </w:rPr>
      </w:pPr>
      <w:r>
        <w:rPr>
          <w:rFonts w:hint="eastAsia" w:hAnsi="宋体"/>
          <w:color w:val="auto"/>
          <w:highlight w:val="none"/>
        </w:rPr>
        <w:t>特此证明。</w:t>
      </w:r>
    </w:p>
    <w:p>
      <w:pPr>
        <w:spacing w:line="500" w:lineRule="exact"/>
        <w:ind w:left="540"/>
        <w:rPr>
          <w:rFonts w:ascii="宋体" w:hAnsi="宋体"/>
          <w:color w:val="auto"/>
          <w:szCs w:val="21"/>
          <w:highlight w:val="none"/>
        </w:rPr>
      </w:pPr>
      <w:r>
        <w:rPr>
          <w:rFonts w:hint="eastAsia"/>
          <w:color w:val="auto"/>
          <w:highlight w:val="none"/>
        </w:rPr>
        <w:t>附：法定代表人有效的身份证正反面复印件</w:t>
      </w:r>
    </w:p>
    <w:p>
      <w:pPr>
        <w:pStyle w:val="25"/>
        <w:spacing w:line="360" w:lineRule="auto"/>
        <w:rPr>
          <w:rFonts w:hAnsi="宋体" w:cs="MingLiU_HKSCS"/>
          <w:color w:val="auto"/>
          <w:highlight w:val="none"/>
        </w:rPr>
      </w:pPr>
    </w:p>
    <w:tbl>
      <w:tblPr>
        <w:tblStyle w:val="49"/>
        <w:tblW w:w="7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89" w:type="dxa"/>
            <w:vAlign w:val="center"/>
          </w:tcPr>
          <w:p>
            <w:pPr>
              <w:pStyle w:val="25"/>
              <w:spacing w:line="360" w:lineRule="auto"/>
              <w:jc w:val="center"/>
              <w:rPr>
                <w:rFonts w:hAnsi="宋体" w:cs="MingLiU_HKSCS"/>
                <w:color w:val="auto"/>
                <w:highlight w:val="none"/>
              </w:rPr>
            </w:pPr>
          </w:p>
          <w:p>
            <w:pPr>
              <w:pStyle w:val="25"/>
              <w:spacing w:line="360" w:lineRule="auto"/>
              <w:jc w:val="center"/>
              <w:rPr>
                <w:rFonts w:hAnsi="宋体" w:cs="MingLiU_HKSCS"/>
                <w:color w:val="auto"/>
                <w:highlight w:val="none"/>
              </w:rPr>
            </w:pPr>
            <w:r>
              <w:rPr>
                <w:rFonts w:hint="eastAsia" w:hAnsi="宋体" w:cs="MingLiU_HKSCS"/>
                <w:color w:val="auto"/>
                <w:highlight w:val="none"/>
              </w:rPr>
              <w:t>法定代表人身份证正反面复印件</w:t>
            </w:r>
          </w:p>
          <w:p>
            <w:pPr>
              <w:pStyle w:val="25"/>
              <w:spacing w:line="360" w:lineRule="auto"/>
              <w:jc w:val="center"/>
              <w:rPr>
                <w:rFonts w:hAnsi="宋体" w:cs="MingLiU_HKSCS"/>
                <w:color w:val="auto"/>
                <w:highlight w:val="none"/>
              </w:rPr>
            </w:pPr>
          </w:p>
        </w:tc>
      </w:tr>
    </w:tbl>
    <w:p>
      <w:pPr>
        <w:pStyle w:val="25"/>
        <w:wordWrap w:val="0"/>
        <w:spacing w:line="460" w:lineRule="exact"/>
        <w:ind w:firstLine="539" w:firstLineChars="257"/>
        <w:jc w:val="right"/>
        <w:rPr>
          <w:color w:val="auto"/>
          <w:highlight w:val="none"/>
        </w:rPr>
      </w:pPr>
    </w:p>
    <w:p>
      <w:pPr>
        <w:pStyle w:val="25"/>
        <w:spacing w:line="460" w:lineRule="exact"/>
        <w:ind w:firstLine="4004" w:firstLineChars="1907"/>
        <w:jc w:val="left"/>
        <w:rPr>
          <w:color w:val="auto"/>
          <w:highlight w:val="none"/>
        </w:rPr>
      </w:pPr>
      <w:r>
        <w:rPr>
          <w:rFonts w:hint="eastAsia"/>
          <w:color w:val="auto"/>
          <w:highlight w:val="none"/>
        </w:rPr>
        <w:t>供应商：（盖单位公章）</w:t>
      </w:r>
    </w:p>
    <w:p>
      <w:pPr>
        <w:pStyle w:val="25"/>
        <w:spacing w:line="460" w:lineRule="exact"/>
        <w:ind w:firstLine="539" w:firstLineChars="257"/>
        <w:rPr>
          <w:color w:val="auto"/>
          <w:highlight w:val="none"/>
        </w:rPr>
      </w:pPr>
    </w:p>
    <w:p>
      <w:pPr>
        <w:pStyle w:val="25"/>
        <w:spacing w:line="460" w:lineRule="exact"/>
        <w:ind w:firstLine="525" w:firstLineChars="250"/>
        <w:jc w:val="right"/>
        <w:rPr>
          <w:color w:val="auto"/>
          <w:highlight w:val="none"/>
        </w:rPr>
      </w:pPr>
      <w:r>
        <w:rPr>
          <w:rFonts w:hint="eastAsia"/>
          <w:color w:val="auto"/>
          <w:highlight w:val="none"/>
        </w:rPr>
        <w:t>日期：   年    月    日</w:t>
      </w:r>
    </w:p>
    <w:p>
      <w:pPr>
        <w:pStyle w:val="25"/>
        <w:spacing w:line="460" w:lineRule="exact"/>
        <w:rPr>
          <w:color w:val="auto"/>
          <w:highlight w:val="none"/>
        </w:rPr>
      </w:pPr>
    </w:p>
    <w:p>
      <w:pPr>
        <w:pStyle w:val="25"/>
        <w:spacing w:line="460" w:lineRule="exact"/>
        <w:rPr>
          <w:color w:val="auto"/>
          <w:highlight w:val="none"/>
        </w:rPr>
      </w:pPr>
    </w:p>
    <w:p>
      <w:pPr>
        <w:spacing w:line="300" w:lineRule="auto"/>
        <w:rPr>
          <w:rFonts w:ascii="宋体" w:hAnsi="宋体"/>
          <w:b/>
          <w:color w:val="auto"/>
          <w:szCs w:val="21"/>
          <w:highlight w:val="none"/>
        </w:rPr>
      </w:pPr>
      <w:r>
        <w:rPr>
          <w:rFonts w:hint="eastAsia"/>
          <w:color w:val="auto"/>
          <w:szCs w:val="21"/>
          <w:highlight w:val="none"/>
        </w:rPr>
        <w:t>附注：如法定代表人亲自参加开标会议的，须提供法定代表人身份证明书、法人代表身份证。</w:t>
      </w:r>
    </w:p>
    <w:p>
      <w:pPr>
        <w:spacing w:line="300" w:lineRule="auto"/>
        <w:rPr>
          <w:rFonts w:ascii="宋体" w:hAnsi="宋体"/>
          <w:b/>
          <w:color w:val="auto"/>
          <w:szCs w:val="21"/>
          <w:highlight w:val="none"/>
        </w:rPr>
      </w:pPr>
      <w:r>
        <w:rPr>
          <w:rFonts w:ascii="宋体" w:hAnsi="宋体"/>
          <w:b/>
          <w:color w:val="auto"/>
          <w:szCs w:val="21"/>
          <w:highlight w:val="none"/>
        </w:rPr>
        <w:br w:type="page"/>
      </w:r>
    </w:p>
    <w:p>
      <w:pPr>
        <w:adjustRightInd w:val="0"/>
        <w:snapToGrid w:val="0"/>
        <w:spacing w:line="300" w:lineRule="auto"/>
        <w:jc w:val="both"/>
        <w:rPr>
          <w:rFonts w:hint="default" w:ascii="宋体" w:hAnsi="宋体" w:eastAsia="宋体"/>
          <w:b/>
          <w:color w:val="auto"/>
          <w:sz w:val="32"/>
          <w:szCs w:val="32"/>
          <w:highlight w:val="none"/>
          <w:lang w:val="en-US" w:eastAsia="zh-CN"/>
        </w:rPr>
      </w:pPr>
      <w:r>
        <w:rPr>
          <w:rFonts w:hint="eastAsia" w:ascii="宋体" w:hAnsi="宋体"/>
          <w:b/>
          <w:color w:val="auto"/>
          <w:sz w:val="32"/>
          <w:szCs w:val="32"/>
          <w:highlight w:val="none"/>
          <w:lang w:eastAsia="zh-CN"/>
        </w:rPr>
        <w:t>附件六</w:t>
      </w:r>
    </w:p>
    <w:p>
      <w:pPr>
        <w:adjustRightInd w:val="0"/>
        <w:snapToGrid w:val="0"/>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法定代表人授权书</w:t>
      </w:r>
    </w:p>
    <w:p>
      <w:pPr>
        <w:adjustRightInd w:val="0"/>
        <w:snapToGrid w:val="0"/>
        <w:spacing w:line="300" w:lineRule="auto"/>
        <w:rPr>
          <w:rFonts w:ascii="宋体" w:hAnsi="宋体"/>
          <w:color w:val="auto"/>
          <w:szCs w:val="21"/>
          <w:highlight w:val="none"/>
        </w:rPr>
      </w:pPr>
    </w:p>
    <w:p>
      <w:pPr>
        <w:snapToGrid w:val="0"/>
        <w:spacing w:beforeLines="50" w:after="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________(供应商名称)的法定代表人________(姓名、职务)授权________(供应商代表姓名、职务)为本公司的投标人代表，就</w:t>
      </w:r>
      <w:r>
        <w:rPr>
          <w:rFonts w:hint="eastAsia" w:ascii="宋体" w:hAnsi="宋体"/>
          <w:color w:val="auto"/>
          <w:szCs w:val="21"/>
          <w:highlight w:val="none"/>
          <w:u w:val="single"/>
        </w:rPr>
        <w:t>___  ___</w:t>
      </w:r>
      <w:r>
        <w:rPr>
          <w:rFonts w:hint="eastAsia" w:ascii="宋体" w:hAnsi="宋体"/>
          <w:color w:val="auto"/>
          <w:szCs w:val="21"/>
          <w:highlight w:val="none"/>
        </w:rPr>
        <w:t>(项目名称及编号)投标及相关事务代表本公司处理与之有关的一切事务。</w:t>
      </w:r>
    </w:p>
    <w:p>
      <w:pPr>
        <w:snapToGrid w:val="0"/>
        <w:spacing w:beforeLines="50" w:after="50" w:line="360" w:lineRule="auto"/>
        <w:jc w:val="left"/>
        <w:rPr>
          <w:rFonts w:ascii="宋体" w:hAnsi="宋体"/>
          <w:color w:val="auto"/>
          <w:szCs w:val="21"/>
          <w:highlight w:val="none"/>
        </w:rPr>
      </w:pPr>
    </w:p>
    <w:p>
      <w:pPr>
        <w:snapToGrid w:val="0"/>
        <w:spacing w:beforeLines="50" w:after="50" w:line="360" w:lineRule="auto"/>
        <w:jc w:val="left"/>
        <w:rPr>
          <w:rFonts w:ascii="宋体" w:hAnsi="宋体"/>
          <w:color w:val="auto"/>
          <w:szCs w:val="21"/>
          <w:highlight w:val="none"/>
        </w:rPr>
      </w:pPr>
      <w:r>
        <w:rPr>
          <w:rFonts w:hint="eastAsia" w:ascii="宋体" w:hAnsi="宋体"/>
          <w:color w:val="auto"/>
          <w:szCs w:val="21"/>
          <w:highlight w:val="none"/>
        </w:rPr>
        <w:t>委托期限：____________________。</w:t>
      </w:r>
    </w:p>
    <w:p>
      <w:pPr>
        <w:snapToGrid w:val="0"/>
        <w:spacing w:beforeLines="50" w:after="50" w:line="360" w:lineRule="auto"/>
        <w:jc w:val="left"/>
        <w:rPr>
          <w:rFonts w:ascii="宋体" w:hAnsi="宋体"/>
          <w:color w:val="auto"/>
          <w:szCs w:val="21"/>
          <w:highlight w:val="none"/>
        </w:rPr>
      </w:pPr>
      <w:r>
        <w:rPr>
          <w:rFonts w:hint="eastAsia" w:ascii="宋体" w:hAnsi="宋体"/>
          <w:color w:val="auto"/>
          <w:szCs w:val="21"/>
          <w:highlight w:val="none"/>
        </w:rPr>
        <w:t>代理人无转委托权。</w:t>
      </w:r>
    </w:p>
    <w:p>
      <w:pPr>
        <w:snapToGrid w:val="0"/>
        <w:spacing w:beforeLines="50" w:after="50" w:line="360" w:lineRule="auto"/>
        <w:jc w:val="left"/>
        <w:rPr>
          <w:rFonts w:ascii="宋体" w:hAnsi="宋体"/>
          <w:color w:val="auto"/>
          <w:szCs w:val="21"/>
          <w:highlight w:val="none"/>
        </w:rPr>
      </w:pPr>
      <w:r>
        <w:rPr>
          <w:rFonts w:hint="eastAsia" w:ascii="宋体" w:hAnsi="宋体"/>
          <w:color w:val="auto"/>
          <w:szCs w:val="21"/>
          <w:highlight w:val="none"/>
        </w:rPr>
        <w:t>本授权书于______年____月____日签字生效，特此声明。</w:t>
      </w:r>
    </w:p>
    <w:p>
      <w:pPr>
        <w:pStyle w:val="25"/>
        <w:spacing w:line="360" w:lineRule="auto"/>
        <w:rPr>
          <w:rFonts w:hAnsi="宋体" w:cs="MingLiU_HKSCS"/>
          <w:color w:val="auto"/>
          <w:highlight w:val="none"/>
        </w:rPr>
      </w:pPr>
    </w:p>
    <w:p>
      <w:pPr>
        <w:pStyle w:val="25"/>
        <w:spacing w:line="360" w:lineRule="auto"/>
        <w:rPr>
          <w:rFonts w:hAnsi="宋体" w:cs="MingLiU_HKSCS"/>
          <w:color w:val="auto"/>
          <w:highlight w:val="none"/>
        </w:rPr>
      </w:pPr>
      <w:r>
        <w:rPr>
          <w:rFonts w:hint="eastAsia" w:hAnsi="宋体" w:cs="MingLiU_HKSCS"/>
          <w:color w:val="auto"/>
          <w:highlight w:val="none"/>
        </w:rPr>
        <w:t>附：法定代表人身份证及被授权人有效身份证正反面复印件</w:t>
      </w:r>
    </w:p>
    <w:tbl>
      <w:tblPr>
        <w:tblStyle w:val="49"/>
        <w:tblW w:w="7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89" w:type="dxa"/>
            <w:vAlign w:val="center"/>
          </w:tcPr>
          <w:p>
            <w:pPr>
              <w:pStyle w:val="25"/>
              <w:spacing w:line="360" w:lineRule="auto"/>
              <w:jc w:val="center"/>
              <w:rPr>
                <w:rFonts w:hAnsi="宋体" w:cs="MingLiU_HKSCS"/>
                <w:color w:val="auto"/>
                <w:highlight w:val="none"/>
              </w:rPr>
            </w:pPr>
          </w:p>
          <w:p>
            <w:pPr>
              <w:pStyle w:val="25"/>
              <w:spacing w:line="360" w:lineRule="auto"/>
              <w:jc w:val="center"/>
              <w:rPr>
                <w:rFonts w:hAnsi="宋体" w:cs="MingLiU_HKSCS"/>
                <w:color w:val="auto"/>
                <w:highlight w:val="none"/>
              </w:rPr>
            </w:pPr>
            <w:r>
              <w:rPr>
                <w:rFonts w:hint="eastAsia" w:hAnsi="宋体" w:cs="MingLiU_HKSCS"/>
                <w:color w:val="auto"/>
                <w:highlight w:val="none"/>
              </w:rPr>
              <w:t>法定代表人身份证正反面复印件</w:t>
            </w:r>
          </w:p>
          <w:p>
            <w:pPr>
              <w:pStyle w:val="25"/>
              <w:spacing w:line="360" w:lineRule="auto"/>
              <w:jc w:val="center"/>
              <w:rPr>
                <w:rFonts w:hAnsi="宋体" w:cs="MingLiU_HKSCS"/>
                <w:color w:val="auto"/>
                <w:highlight w:val="none"/>
              </w:rPr>
            </w:pPr>
          </w:p>
        </w:tc>
      </w:tr>
    </w:tbl>
    <w:p>
      <w:pPr>
        <w:pStyle w:val="25"/>
        <w:spacing w:line="360" w:lineRule="auto"/>
        <w:ind w:firstLine="420" w:firstLineChars="200"/>
        <w:rPr>
          <w:rFonts w:hAnsi="宋体" w:cs="MingLiU_HKSCS"/>
          <w:color w:val="auto"/>
          <w:highlight w:val="none"/>
        </w:rPr>
      </w:pPr>
    </w:p>
    <w:p>
      <w:pPr>
        <w:pStyle w:val="25"/>
        <w:spacing w:line="360" w:lineRule="auto"/>
        <w:rPr>
          <w:rFonts w:hAnsi="宋体" w:cs="MingLiU_HKSCS"/>
          <w:color w:val="auto"/>
          <w:highlight w:val="none"/>
        </w:rPr>
      </w:pPr>
    </w:p>
    <w:tbl>
      <w:tblPr>
        <w:tblStyle w:val="49"/>
        <w:tblW w:w="7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89" w:type="dxa"/>
            <w:vAlign w:val="center"/>
          </w:tcPr>
          <w:p>
            <w:pPr>
              <w:pStyle w:val="25"/>
              <w:spacing w:line="360" w:lineRule="auto"/>
              <w:jc w:val="center"/>
              <w:rPr>
                <w:rFonts w:hAnsi="宋体" w:cs="MingLiU_HKSCS"/>
                <w:color w:val="auto"/>
                <w:highlight w:val="none"/>
              </w:rPr>
            </w:pPr>
          </w:p>
          <w:p>
            <w:pPr>
              <w:pStyle w:val="25"/>
              <w:spacing w:line="360" w:lineRule="auto"/>
              <w:jc w:val="center"/>
              <w:rPr>
                <w:rFonts w:hAnsi="宋体" w:cs="MingLiU_HKSCS"/>
                <w:color w:val="auto"/>
                <w:highlight w:val="none"/>
              </w:rPr>
            </w:pPr>
            <w:r>
              <w:rPr>
                <w:rFonts w:hint="eastAsia" w:hAnsi="宋体" w:cs="Times New Roman"/>
                <w:color w:val="auto"/>
                <w:highlight w:val="none"/>
              </w:rPr>
              <w:t>被</w:t>
            </w:r>
            <w:r>
              <w:rPr>
                <w:rFonts w:hint="eastAsia" w:hAnsi="宋体" w:cs="MingLiU_HKSCS"/>
                <w:color w:val="auto"/>
                <w:highlight w:val="none"/>
              </w:rPr>
              <w:t>授权代表身份证正反面复印件</w:t>
            </w:r>
          </w:p>
          <w:p>
            <w:pPr>
              <w:pStyle w:val="25"/>
              <w:spacing w:line="360" w:lineRule="auto"/>
              <w:jc w:val="center"/>
              <w:rPr>
                <w:rFonts w:hAnsi="宋体" w:cs="MingLiU_HKSCS"/>
                <w:color w:val="auto"/>
                <w:highlight w:val="none"/>
              </w:rPr>
            </w:pPr>
          </w:p>
        </w:tc>
      </w:tr>
    </w:tbl>
    <w:p>
      <w:pPr>
        <w:snapToGrid w:val="0"/>
        <w:spacing w:beforeLines="50" w:after="50"/>
        <w:rPr>
          <w:rFonts w:ascii="宋体" w:hAnsi="宋体"/>
          <w:color w:val="auto"/>
          <w:szCs w:val="21"/>
          <w:highlight w:val="none"/>
        </w:rPr>
      </w:pPr>
    </w:p>
    <w:p>
      <w:pPr>
        <w:snapToGrid w:val="0"/>
        <w:spacing w:beforeLines="50" w:after="50"/>
        <w:rPr>
          <w:rFonts w:ascii="宋体" w:hAnsi="宋体"/>
          <w:color w:val="auto"/>
          <w:szCs w:val="21"/>
          <w:highlight w:val="none"/>
          <w:u w:val="single"/>
        </w:rPr>
      </w:pPr>
      <w:r>
        <w:rPr>
          <w:rFonts w:hint="eastAsia" w:ascii="宋体" w:hAnsi="宋体"/>
          <w:color w:val="auto"/>
          <w:szCs w:val="21"/>
          <w:highlight w:val="none"/>
        </w:rPr>
        <w:t>被授权人签字：            法定代表人签字：</w:t>
      </w:r>
    </w:p>
    <w:p>
      <w:pPr>
        <w:snapToGrid w:val="0"/>
        <w:spacing w:beforeLines="50" w:after="50"/>
        <w:rPr>
          <w:rFonts w:ascii="宋体" w:hAnsi="宋体"/>
          <w:color w:val="auto"/>
          <w:szCs w:val="21"/>
          <w:highlight w:val="none"/>
        </w:rPr>
      </w:pPr>
      <w:r>
        <w:rPr>
          <w:rFonts w:hint="eastAsia" w:ascii="宋体" w:hAnsi="宋体"/>
          <w:color w:val="auto"/>
          <w:szCs w:val="21"/>
          <w:highlight w:val="none"/>
        </w:rPr>
        <w:t>所在部门职务：                      职务：</w:t>
      </w:r>
    </w:p>
    <w:p>
      <w:pPr>
        <w:snapToGrid w:val="0"/>
        <w:spacing w:beforeLines="50" w:after="50"/>
        <w:rPr>
          <w:rFonts w:ascii="宋体" w:hAnsi="宋体"/>
          <w:color w:val="auto"/>
          <w:szCs w:val="21"/>
          <w:highlight w:val="none"/>
        </w:rPr>
      </w:pPr>
      <w:r>
        <w:rPr>
          <w:rFonts w:hint="eastAsia" w:ascii="宋体" w:hAnsi="宋体"/>
          <w:color w:val="auto"/>
          <w:szCs w:val="21"/>
          <w:highlight w:val="none"/>
        </w:rPr>
        <w:t>被授权人身份证号码：</w:t>
      </w:r>
    </w:p>
    <w:p>
      <w:pPr>
        <w:snapToGrid w:val="0"/>
        <w:spacing w:beforeLines="50" w:after="50"/>
        <w:jc w:val="center"/>
        <w:rPr>
          <w:rFonts w:ascii="宋体" w:hAnsi="宋体"/>
          <w:color w:val="auto"/>
          <w:szCs w:val="21"/>
          <w:highlight w:val="none"/>
        </w:rPr>
      </w:pPr>
      <w:r>
        <w:rPr>
          <w:rFonts w:hint="eastAsia" w:ascii="宋体" w:hAnsi="宋体"/>
          <w:color w:val="auto"/>
          <w:szCs w:val="21"/>
          <w:highlight w:val="none"/>
        </w:rPr>
        <w:t xml:space="preserve">                                                供应商公章：</w:t>
      </w:r>
    </w:p>
    <w:p>
      <w:pPr>
        <w:pStyle w:val="25"/>
        <w:spacing w:line="460" w:lineRule="exact"/>
        <w:ind w:firstLine="525" w:firstLineChars="250"/>
        <w:jc w:val="right"/>
        <w:rPr>
          <w:color w:val="auto"/>
          <w:highlight w:val="none"/>
        </w:rPr>
      </w:pPr>
      <w:r>
        <w:rPr>
          <w:rFonts w:hint="eastAsia"/>
          <w:color w:val="auto"/>
          <w:highlight w:val="none"/>
        </w:rPr>
        <w:t>日期：   年    月    日</w:t>
      </w:r>
    </w:p>
    <w:p>
      <w:pPr>
        <w:autoSpaceDE w:val="0"/>
        <w:autoSpaceDN w:val="0"/>
        <w:spacing w:line="300" w:lineRule="auto"/>
        <w:ind w:left="480" w:hanging="480"/>
        <w:rPr>
          <w:rFonts w:ascii="宋体" w:hAnsi="宋体"/>
          <w:color w:val="auto"/>
          <w:szCs w:val="21"/>
          <w:highlight w:val="none"/>
        </w:rPr>
      </w:pPr>
    </w:p>
    <w:p>
      <w:pPr>
        <w:autoSpaceDE w:val="0"/>
        <w:autoSpaceDN w:val="0"/>
        <w:spacing w:line="300" w:lineRule="auto"/>
        <w:ind w:left="480" w:hanging="480"/>
        <w:rPr>
          <w:rFonts w:ascii="宋体" w:hAnsi="宋体"/>
          <w:color w:val="auto"/>
          <w:szCs w:val="21"/>
          <w:highlight w:val="none"/>
        </w:rPr>
      </w:pPr>
    </w:p>
    <w:p>
      <w:pPr>
        <w:autoSpaceDE w:val="0"/>
        <w:autoSpaceDN w:val="0"/>
        <w:spacing w:line="300" w:lineRule="auto"/>
        <w:ind w:left="480" w:hanging="480"/>
        <w:rPr>
          <w:rFonts w:ascii="宋体" w:hAnsi="宋体"/>
          <w:color w:val="auto"/>
          <w:szCs w:val="21"/>
          <w:highlight w:val="none"/>
        </w:rPr>
      </w:pPr>
    </w:p>
    <w:p>
      <w:pPr>
        <w:autoSpaceDE w:val="0"/>
        <w:autoSpaceDN w:val="0"/>
        <w:spacing w:line="300" w:lineRule="auto"/>
        <w:ind w:left="480" w:hanging="480"/>
        <w:rPr>
          <w:rFonts w:ascii="宋体" w:hAnsi="宋体"/>
          <w:color w:val="auto"/>
          <w:szCs w:val="21"/>
          <w:highlight w:val="none"/>
        </w:rPr>
      </w:pPr>
    </w:p>
    <w:p>
      <w:pPr>
        <w:autoSpaceDE w:val="0"/>
        <w:autoSpaceDN w:val="0"/>
        <w:spacing w:line="300" w:lineRule="auto"/>
        <w:ind w:left="480" w:hanging="480"/>
        <w:rPr>
          <w:rFonts w:ascii="宋体" w:hAnsi="宋体"/>
          <w:color w:val="auto"/>
          <w:szCs w:val="21"/>
          <w:highlight w:val="none"/>
        </w:rPr>
      </w:pPr>
    </w:p>
    <w:p>
      <w:pPr>
        <w:pStyle w:val="4"/>
        <w:jc w:val="center"/>
        <w:rPr>
          <w:color w:val="auto"/>
          <w:sz w:val="36"/>
          <w:szCs w:val="36"/>
          <w:highlight w:val="none"/>
        </w:rPr>
      </w:pPr>
      <w:r>
        <w:rPr>
          <w:rFonts w:hint="eastAsia"/>
          <w:color w:val="auto"/>
          <w:highlight w:val="none"/>
        </w:rPr>
        <w:t>第六章合同主要条款</w:t>
      </w:r>
    </w:p>
    <w:p>
      <w:pPr>
        <w:spacing w:line="360" w:lineRule="auto"/>
        <w:jc w:val="center"/>
        <w:rPr>
          <w:rFonts w:ascii="宋体" w:hAnsi="宋体"/>
          <w:b/>
          <w:bCs/>
          <w:color w:val="auto"/>
          <w:sz w:val="36"/>
          <w:szCs w:val="36"/>
          <w:highlight w:val="none"/>
        </w:rPr>
      </w:pPr>
      <w:r>
        <w:rPr>
          <w:rFonts w:hint="eastAsia"/>
          <w:b/>
          <w:color w:val="auto"/>
          <w:sz w:val="36"/>
          <w:szCs w:val="36"/>
          <w:highlight w:val="none"/>
        </w:rPr>
        <w:t>采购合同书</w:t>
      </w:r>
    </w:p>
    <w:p>
      <w:pPr>
        <w:pStyle w:val="25"/>
        <w:spacing w:line="360" w:lineRule="auto"/>
        <w:rPr>
          <w:rFonts w:hAnsi="宋体"/>
          <w:color w:val="auto"/>
          <w:highlight w:val="none"/>
        </w:rPr>
      </w:pPr>
    </w:p>
    <w:p>
      <w:pPr>
        <w:pStyle w:val="25"/>
        <w:spacing w:line="360" w:lineRule="auto"/>
        <w:rPr>
          <w:rFonts w:hAnsi="宋体"/>
          <w:color w:val="auto"/>
          <w:highlight w:val="none"/>
        </w:rPr>
      </w:pPr>
      <w:r>
        <w:rPr>
          <w:rFonts w:hint="eastAsia" w:hAnsi="宋体"/>
          <w:color w:val="auto"/>
          <w:highlight w:val="none"/>
        </w:rPr>
        <w:t>合同名称：</w:t>
      </w:r>
      <w:r>
        <w:rPr>
          <w:rFonts w:hint="eastAsia" w:hAnsi="宋体"/>
          <w:color w:val="auto"/>
          <w:highlight w:val="none"/>
          <w:u w:val="single"/>
        </w:rPr>
        <w:t xml:space="preserve">                                         </w:t>
      </w:r>
      <w:r>
        <w:rPr>
          <w:rFonts w:hint="eastAsia" w:hAnsi="宋体"/>
          <w:color w:val="auto"/>
          <w:highlight w:val="none"/>
        </w:rPr>
        <w:t xml:space="preserve">                          </w:t>
      </w:r>
    </w:p>
    <w:p>
      <w:pPr>
        <w:pStyle w:val="25"/>
        <w:spacing w:line="360" w:lineRule="auto"/>
        <w:rPr>
          <w:rFonts w:hAnsi="宋体"/>
          <w:color w:val="auto"/>
          <w:highlight w:val="none"/>
        </w:rPr>
      </w:pPr>
      <w:r>
        <w:rPr>
          <w:rFonts w:hint="eastAsia" w:hAnsi="宋体"/>
          <w:color w:val="auto"/>
          <w:highlight w:val="none"/>
        </w:rPr>
        <w:t>合同编号：</w:t>
      </w:r>
      <w:r>
        <w:rPr>
          <w:rFonts w:hint="eastAsia" w:hAnsi="宋体"/>
          <w:color w:val="auto"/>
          <w:highlight w:val="none"/>
          <w:u w:val="single"/>
        </w:rPr>
        <w:t xml:space="preserve">                                        </w:t>
      </w:r>
      <w:r>
        <w:rPr>
          <w:rFonts w:hint="eastAsia" w:hAnsi="宋体"/>
          <w:color w:val="auto"/>
          <w:highlight w:val="none"/>
        </w:rPr>
        <w:t xml:space="preserve">                              </w:t>
      </w:r>
    </w:p>
    <w:p>
      <w:pPr>
        <w:pStyle w:val="25"/>
        <w:spacing w:line="360" w:lineRule="auto"/>
        <w:rPr>
          <w:rFonts w:hAnsi="宋体"/>
          <w:color w:val="auto"/>
          <w:highlight w:val="none"/>
        </w:rPr>
      </w:pPr>
      <w:r>
        <w:rPr>
          <w:rFonts w:hint="eastAsia" w:hAnsi="宋体"/>
          <w:color w:val="auto"/>
          <w:highlight w:val="none"/>
        </w:rPr>
        <w:t>分标号（有分标时填写）：</w:t>
      </w:r>
      <w:r>
        <w:rPr>
          <w:rFonts w:hint="eastAsia" w:hAnsi="宋体"/>
          <w:color w:val="auto"/>
          <w:highlight w:val="none"/>
          <w:u w:val="single"/>
        </w:rPr>
        <w:t xml:space="preserve">             无              </w:t>
      </w:r>
    </w:p>
    <w:p>
      <w:pPr>
        <w:pStyle w:val="25"/>
        <w:spacing w:line="360" w:lineRule="auto"/>
        <w:rPr>
          <w:rFonts w:hAnsi="宋体"/>
          <w:color w:val="auto"/>
          <w:highlight w:val="none"/>
        </w:rPr>
      </w:pPr>
    </w:p>
    <w:p>
      <w:pPr>
        <w:pStyle w:val="25"/>
        <w:spacing w:line="360" w:lineRule="auto"/>
        <w:rPr>
          <w:rFonts w:hAnsi="宋体"/>
          <w:color w:val="auto"/>
          <w:highlight w:val="none"/>
        </w:rPr>
      </w:pPr>
      <w:r>
        <w:rPr>
          <w:rFonts w:hint="eastAsia" w:hAnsi="宋体"/>
          <w:color w:val="auto"/>
          <w:highlight w:val="none"/>
        </w:rPr>
        <w:t>甲方（买方）：</w:t>
      </w:r>
      <w:r>
        <w:rPr>
          <w:rFonts w:hint="eastAsia" w:hAnsi="宋体"/>
          <w:color w:val="auto"/>
          <w:highlight w:val="none"/>
          <w:u w:val="single"/>
        </w:rPr>
        <w:t xml:space="preserve">                                         </w:t>
      </w:r>
    </w:p>
    <w:p>
      <w:pPr>
        <w:pStyle w:val="25"/>
        <w:spacing w:line="360" w:lineRule="auto"/>
        <w:rPr>
          <w:rFonts w:hAnsi="宋体"/>
          <w:color w:val="auto"/>
          <w:highlight w:val="none"/>
        </w:rPr>
      </w:pPr>
      <w:r>
        <w:rPr>
          <w:rFonts w:hint="eastAsia" w:hAnsi="宋体"/>
          <w:color w:val="auto"/>
          <w:highlight w:val="none"/>
        </w:rPr>
        <w:t>乙方（卖方）：</w:t>
      </w:r>
      <w:r>
        <w:rPr>
          <w:rFonts w:hint="eastAsia" w:hAnsi="宋体"/>
          <w:color w:val="auto"/>
          <w:highlight w:val="none"/>
          <w:u w:val="single"/>
        </w:rPr>
        <w:t xml:space="preserve">                                         </w:t>
      </w:r>
    </w:p>
    <w:p>
      <w:pPr>
        <w:pStyle w:val="25"/>
        <w:spacing w:line="360" w:lineRule="auto"/>
        <w:rPr>
          <w:rFonts w:hAnsi="宋体"/>
          <w:color w:val="auto"/>
          <w:highlight w:val="none"/>
        </w:rPr>
      </w:pPr>
    </w:p>
    <w:p>
      <w:pPr>
        <w:pStyle w:val="25"/>
        <w:spacing w:line="360" w:lineRule="auto"/>
        <w:ind w:firstLine="420" w:firstLineChars="200"/>
        <w:rPr>
          <w:rFonts w:hAnsi="宋体"/>
          <w:b/>
          <w:color w:val="auto"/>
          <w:highlight w:val="none"/>
        </w:rPr>
      </w:pPr>
      <w:r>
        <w:rPr>
          <w:rFonts w:hint="eastAsia" w:hAnsi="宋体"/>
          <w:color w:val="auto"/>
          <w:highlight w:val="none"/>
        </w:rPr>
        <w:t>根据</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日采购结果，甲方接受乙方对本项目的投标，甲、乙双方同意签署本合同（以下简称合同）。</w:t>
      </w:r>
    </w:p>
    <w:p>
      <w:pPr>
        <w:pStyle w:val="25"/>
        <w:spacing w:line="360" w:lineRule="auto"/>
        <w:ind w:firstLine="422" w:firstLineChars="200"/>
        <w:rPr>
          <w:rFonts w:hAnsi="宋体"/>
          <w:b/>
          <w:bCs/>
          <w:color w:val="auto"/>
          <w:highlight w:val="none"/>
        </w:rPr>
      </w:pPr>
      <w:r>
        <w:rPr>
          <w:rFonts w:hint="eastAsia" w:hAnsi="宋体"/>
          <w:b/>
          <w:bCs/>
          <w:color w:val="auto"/>
          <w:highlight w:val="none"/>
        </w:rPr>
        <w:t>1.  采购内容</w:t>
      </w:r>
    </w:p>
    <w:p>
      <w:pPr>
        <w:pStyle w:val="25"/>
        <w:tabs>
          <w:tab w:val="left" w:pos="5220"/>
        </w:tabs>
        <w:spacing w:line="360" w:lineRule="auto"/>
        <w:ind w:firstLine="420" w:firstLineChars="200"/>
        <w:rPr>
          <w:rFonts w:hAnsi="宋体"/>
          <w:color w:val="auto"/>
          <w:highlight w:val="none"/>
          <w:u w:val="single"/>
        </w:rPr>
      </w:pPr>
      <w:r>
        <w:rPr>
          <w:rFonts w:hint="eastAsia" w:hAnsi="宋体"/>
          <w:color w:val="auto"/>
          <w:highlight w:val="none"/>
        </w:rPr>
        <w:t>1.1 服务名称：</w:t>
      </w:r>
      <w:r>
        <w:rPr>
          <w:rFonts w:hint="eastAsia" w:hAnsi="宋体"/>
          <w:color w:val="auto"/>
          <w:highlight w:val="none"/>
          <w:u w:val="single"/>
        </w:rPr>
        <w:t>详见合同附件中报价表</w:t>
      </w:r>
    </w:p>
    <w:p>
      <w:pPr>
        <w:pStyle w:val="25"/>
        <w:tabs>
          <w:tab w:val="left" w:pos="5220"/>
        </w:tabs>
        <w:spacing w:line="360" w:lineRule="auto"/>
        <w:ind w:firstLine="420" w:firstLineChars="200"/>
        <w:rPr>
          <w:rFonts w:hAnsi="宋体"/>
          <w:color w:val="auto"/>
          <w:highlight w:val="none"/>
        </w:rPr>
      </w:pPr>
      <w:r>
        <w:rPr>
          <w:rFonts w:hint="eastAsia" w:hAnsi="宋体"/>
          <w:color w:val="auto"/>
          <w:highlight w:val="none"/>
        </w:rPr>
        <w:t>1.2 数量：</w:t>
      </w:r>
      <w:r>
        <w:rPr>
          <w:rFonts w:hint="eastAsia" w:hAnsi="宋体"/>
          <w:color w:val="auto"/>
          <w:highlight w:val="none"/>
          <w:u w:val="single"/>
        </w:rPr>
        <w:t>详见合同附件中报价表</w:t>
      </w:r>
    </w:p>
    <w:p>
      <w:pPr>
        <w:pStyle w:val="25"/>
        <w:tabs>
          <w:tab w:val="left" w:pos="5220"/>
        </w:tabs>
        <w:spacing w:line="360" w:lineRule="auto"/>
        <w:ind w:firstLine="420" w:firstLineChars="200"/>
        <w:rPr>
          <w:rFonts w:hAnsi="宋体"/>
          <w:color w:val="auto"/>
          <w:highlight w:val="none"/>
        </w:rPr>
      </w:pPr>
      <w:r>
        <w:rPr>
          <w:rFonts w:hint="eastAsia" w:hAnsi="宋体"/>
          <w:color w:val="auto"/>
          <w:highlight w:val="none"/>
        </w:rPr>
        <w:t xml:space="preserve">1.2 </w:t>
      </w:r>
      <w:r>
        <w:rPr>
          <w:rFonts w:hint="eastAsia"/>
          <w:color w:val="auto"/>
          <w:highlight w:val="none"/>
        </w:rPr>
        <w:t>服务内容及要求</w:t>
      </w:r>
      <w:r>
        <w:rPr>
          <w:rFonts w:hint="eastAsia" w:ascii="Times New Roman" w:hAnsi="Times New Roman"/>
          <w:color w:val="auto"/>
          <w:highlight w:val="none"/>
        </w:rPr>
        <w:t>：</w:t>
      </w:r>
      <w:r>
        <w:rPr>
          <w:rFonts w:hint="eastAsia" w:hAnsi="宋体"/>
          <w:color w:val="auto"/>
          <w:highlight w:val="none"/>
          <w:u w:val="single"/>
        </w:rPr>
        <w:t>详见合同附件中投标服务技术资料表</w:t>
      </w:r>
    </w:p>
    <w:p>
      <w:pPr>
        <w:pStyle w:val="25"/>
        <w:tabs>
          <w:tab w:val="left" w:pos="5145"/>
        </w:tabs>
        <w:spacing w:line="360" w:lineRule="auto"/>
        <w:ind w:firstLine="422" w:firstLineChars="200"/>
        <w:rPr>
          <w:rFonts w:hAnsi="宋体"/>
          <w:b/>
          <w:bCs/>
          <w:color w:val="auto"/>
          <w:highlight w:val="none"/>
        </w:rPr>
      </w:pPr>
      <w:r>
        <w:rPr>
          <w:rFonts w:hint="eastAsia" w:hAnsi="宋体"/>
          <w:b/>
          <w:bCs/>
          <w:color w:val="auto"/>
          <w:highlight w:val="none"/>
        </w:rPr>
        <w:t>2.  合同金额</w:t>
      </w:r>
    </w:p>
    <w:p>
      <w:pPr>
        <w:pStyle w:val="25"/>
        <w:spacing w:line="360" w:lineRule="auto"/>
        <w:ind w:firstLine="411" w:firstLineChars="196"/>
        <w:rPr>
          <w:rFonts w:hAnsi="宋体"/>
          <w:b/>
          <w:bCs/>
          <w:color w:val="auto"/>
          <w:highlight w:val="none"/>
        </w:rPr>
      </w:pPr>
      <w:r>
        <w:rPr>
          <w:rFonts w:hint="eastAsia" w:hAnsi="宋体"/>
          <w:color w:val="auto"/>
          <w:highlight w:val="none"/>
        </w:rPr>
        <w:t>2.1 本合同金额为（大写）人民币</w:t>
      </w:r>
      <w:r>
        <w:rPr>
          <w:rFonts w:hint="eastAsia" w:hAnsi="宋体" w:cs="宋体"/>
          <w:color w:val="auto"/>
          <w:highlight w:val="none"/>
          <w:u w:val="single"/>
        </w:rPr>
        <w:t xml:space="preserve">        </w:t>
      </w:r>
      <w:r>
        <w:rPr>
          <w:rFonts w:hint="eastAsia" w:hAnsi="宋体" w:cs="宋体"/>
          <w:color w:val="auto"/>
          <w:highlight w:val="none"/>
        </w:rPr>
        <w:t>元整(￥</w:t>
      </w:r>
      <w:r>
        <w:rPr>
          <w:rFonts w:hint="eastAsia" w:hAnsi="宋体" w:cs="宋体"/>
          <w:color w:val="auto"/>
          <w:highlight w:val="none"/>
          <w:u w:val="single"/>
        </w:rPr>
        <w:t xml:space="preserve">      </w:t>
      </w:r>
      <w:r>
        <w:rPr>
          <w:rFonts w:hint="eastAsia" w:hAnsi="宋体" w:cs="宋体"/>
          <w:color w:val="auto"/>
          <w:highlight w:val="none"/>
        </w:rPr>
        <w:t>元)</w:t>
      </w:r>
      <w:r>
        <w:rPr>
          <w:rFonts w:hint="eastAsia" w:hAnsi="宋体"/>
          <w:color w:val="auto"/>
          <w:highlight w:val="none"/>
        </w:rPr>
        <w:t>（详见报价表）结算以实际为主，且结算金额不能超过合同总金额。</w:t>
      </w:r>
    </w:p>
    <w:p>
      <w:pPr>
        <w:pStyle w:val="25"/>
        <w:tabs>
          <w:tab w:val="left" w:pos="5940"/>
        </w:tabs>
        <w:spacing w:line="360" w:lineRule="auto"/>
        <w:ind w:firstLine="422" w:firstLineChars="200"/>
        <w:rPr>
          <w:rFonts w:hAnsi="宋体"/>
          <w:b/>
          <w:bCs/>
          <w:color w:val="auto"/>
          <w:highlight w:val="none"/>
        </w:rPr>
      </w:pPr>
      <w:r>
        <w:rPr>
          <w:rFonts w:hint="eastAsia" w:hAnsi="宋体"/>
          <w:b/>
          <w:bCs/>
          <w:color w:val="auto"/>
          <w:highlight w:val="none"/>
        </w:rPr>
        <w:t>3.  提交服务成果时间和地点</w:t>
      </w:r>
    </w:p>
    <w:p>
      <w:pPr>
        <w:pStyle w:val="25"/>
        <w:tabs>
          <w:tab w:val="left" w:pos="5250"/>
          <w:tab w:val="left" w:pos="5940"/>
        </w:tabs>
        <w:spacing w:line="360" w:lineRule="auto"/>
        <w:ind w:firstLine="411" w:firstLineChars="196"/>
        <w:rPr>
          <w:rFonts w:hAnsi="宋体"/>
          <w:b/>
          <w:bCs/>
          <w:color w:val="auto"/>
          <w:highlight w:val="none"/>
        </w:rPr>
      </w:pPr>
      <w:r>
        <w:rPr>
          <w:rFonts w:hint="eastAsia" w:hAnsi="宋体"/>
          <w:bCs/>
          <w:color w:val="auto"/>
          <w:highlight w:val="none"/>
        </w:rPr>
        <w:t xml:space="preserve">3.1 </w:t>
      </w:r>
      <w:r>
        <w:rPr>
          <w:rFonts w:hint="eastAsia"/>
          <w:bCs/>
          <w:color w:val="auto"/>
          <w:highlight w:val="none"/>
        </w:rPr>
        <w:t>提交服务成果时间</w:t>
      </w:r>
      <w:r>
        <w:rPr>
          <w:rFonts w:hint="eastAsia" w:hAnsi="宋体"/>
          <w:bCs/>
          <w:color w:val="auto"/>
          <w:highlight w:val="none"/>
        </w:rPr>
        <w:t>：</w:t>
      </w:r>
      <w:r>
        <w:rPr>
          <w:rFonts w:hint="eastAsia" w:hAnsi="宋体"/>
          <w:color w:val="auto"/>
          <w:highlight w:val="none"/>
          <w:u w:val="single"/>
        </w:rPr>
        <w:t xml:space="preserve">                                             </w:t>
      </w:r>
    </w:p>
    <w:p>
      <w:pPr>
        <w:pStyle w:val="25"/>
        <w:tabs>
          <w:tab w:val="left" w:pos="5940"/>
        </w:tabs>
        <w:spacing w:line="360" w:lineRule="auto"/>
        <w:ind w:firstLine="411" w:firstLineChars="196"/>
        <w:rPr>
          <w:rFonts w:hAnsi="宋体"/>
          <w:b/>
          <w:bCs/>
          <w:color w:val="auto"/>
          <w:highlight w:val="none"/>
        </w:rPr>
      </w:pPr>
      <w:r>
        <w:rPr>
          <w:rFonts w:hint="eastAsia" w:hAnsi="宋体"/>
          <w:bCs/>
          <w:color w:val="auto"/>
          <w:highlight w:val="none"/>
        </w:rPr>
        <w:t xml:space="preserve">3.2 </w:t>
      </w:r>
      <w:r>
        <w:rPr>
          <w:rFonts w:hint="eastAsia"/>
          <w:bCs/>
          <w:color w:val="auto"/>
          <w:highlight w:val="none"/>
        </w:rPr>
        <w:t>提交服务成果</w:t>
      </w:r>
      <w:r>
        <w:rPr>
          <w:rFonts w:hint="eastAsia" w:hAnsi="宋体"/>
          <w:bCs/>
          <w:color w:val="auto"/>
          <w:highlight w:val="none"/>
        </w:rPr>
        <w:t>地点：</w:t>
      </w:r>
      <w:r>
        <w:rPr>
          <w:rFonts w:hint="eastAsia" w:hAnsi="宋体"/>
          <w:color w:val="auto"/>
          <w:highlight w:val="none"/>
          <w:u w:val="single"/>
        </w:rPr>
        <w:t xml:space="preserve">                    </w:t>
      </w:r>
      <w:r>
        <w:rPr>
          <w:rFonts w:hint="eastAsia" w:hAnsi="宋体" w:cs="宋体"/>
          <w:color w:val="auto"/>
          <w:highlight w:val="none"/>
          <w:u w:val="single"/>
        </w:rPr>
        <w:t xml:space="preserve">                      </w:t>
      </w:r>
      <w:r>
        <w:rPr>
          <w:rFonts w:hint="eastAsia" w:hAnsi="宋体"/>
          <w:color w:val="auto"/>
          <w:highlight w:val="none"/>
          <w:u w:val="single"/>
        </w:rPr>
        <w:t xml:space="preserve">   </w:t>
      </w:r>
    </w:p>
    <w:p>
      <w:pPr>
        <w:pStyle w:val="25"/>
        <w:tabs>
          <w:tab w:val="left" w:pos="5940"/>
        </w:tabs>
        <w:spacing w:line="360" w:lineRule="auto"/>
        <w:ind w:firstLine="411" w:firstLineChars="196"/>
        <w:rPr>
          <w:rFonts w:hAnsi="宋体"/>
          <w:b/>
          <w:bCs/>
          <w:color w:val="auto"/>
          <w:highlight w:val="none"/>
        </w:rPr>
      </w:pPr>
      <w:r>
        <w:rPr>
          <w:rFonts w:hint="eastAsia" w:hAnsi="宋体"/>
          <w:bCs/>
          <w:color w:val="auto"/>
          <w:highlight w:val="none"/>
        </w:rPr>
        <w:t xml:space="preserve">3.3 </w:t>
      </w:r>
      <w:r>
        <w:rPr>
          <w:rFonts w:hint="eastAsia" w:hAnsi="宋体"/>
          <w:color w:val="auto"/>
          <w:highlight w:val="none"/>
        </w:rPr>
        <w:t>乙方必须按投标文件承诺的服务响应条款向甲方提供服务。</w:t>
      </w:r>
    </w:p>
    <w:p>
      <w:pPr>
        <w:pStyle w:val="25"/>
        <w:spacing w:line="360" w:lineRule="auto"/>
        <w:ind w:left="420" w:leftChars="200" w:firstLine="63" w:firstLineChars="30"/>
        <w:rPr>
          <w:rFonts w:hAnsi="宋体"/>
          <w:b/>
          <w:color w:val="auto"/>
          <w:highlight w:val="none"/>
        </w:rPr>
      </w:pPr>
      <w:r>
        <w:rPr>
          <w:rFonts w:hint="eastAsia" w:hAnsi="宋体"/>
          <w:b/>
          <w:bCs/>
          <w:color w:val="auto"/>
          <w:highlight w:val="none"/>
        </w:rPr>
        <w:t>4.  履约保证金</w:t>
      </w:r>
    </w:p>
    <w:p>
      <w:pPr>
        <w:pStyle w:val="25"/>
        <w:tabs>
          <w:tab w:val="left" w:pos="5145"/>
        </w:tabs>
        <w:spacing w:line="360" w:lineRule="auto"/>
        <w:ind w:firstLine="420" w:firstLineChars="200"/>
        <w:rPr>
          <w:rFonts w:hAnsi="宋体"/>
          <w:b/>
          <w:color w:val="auto"/>
          <w:highlight w:val="none"/>
        </w:rPr>
      </w:pPr>
      <w:r>
        <w:rPr>
          <w:rFonts w:hint="eastAsia" w:hAnsi="宋体"/>
          <w:color w:val="auto"/>
          <w:highlight w:val="none"/>
        </w:rPr>
        <w:t>4.1 乙方交纳（大写）人民币</w:t>
      </w:r>
      <w:r>
        <w:rPr>
          <w:rFonts w:hint="eastAsia" w:hAnsi="宋体"/>
          <w:color w:val="auto"/>
          <w:highlight w:val="none"/>
          <w:u w:val="single"/>
        </w:rPr>
        <w:t xml:space="preserve">                    </w:t>
      </w:r>
      <w:r>
        <w:rPr>
          <w:rFonts w:hint="eastAsia" w:hAnsi="宋体"/>
          <w:color w:val="auto"/>
          <w:highlight w:val="none"/>
        </w:rPr>
        <w:t>（￥</w:t>
      </w:r>
      <w:r>
        <w:rPr>
          <w:rFonts w:hint="eastAsia" w:hAnsi="宋体"/>
          <w:color w:val="auto"/>
          <w:highlight w:val="none"/>
          <w:u w:val="single"/>
        </w:rPr>
        <w:t xml:space="preserve">　     </w:t>
      </w:r>
      <w:r>
        <w:rPr>
          <w:rFonts w:hint="eastAsia" w:hAnsi="宋体"/>
          <w:color w:val="auto"/>
          <w:highlight w:val="none"/>
        </w:rPr>
        <w:t>元）作为本合同的履约保证金。</w:t>
      </w:r>
    </w:p>
    <w:p>
      <w:pPr>
        <w:pStyle w:val="25"/>
        <w:spacing w:line="360" w:lineRule="auto"/>
        <w:ind w:firstLine="420" w:firstLineChars="200"/>
        <w:rPr>
          <w:rFonts w:hAnsi="宋体"/>
          <w:color w:val="auto"/>
          <w:highlight w:val="none"/>
        </w:rPr>
      </w:pPr>
      <w:r>
        <w:rPr>
          <w:rFonts w:hint="eastAsia" w:hAnsi="宋体"/>
          <w:color w:val="auto"/>
          <w:highlight w:val="none"/>
        </w:rPr>
        <w:t>4.2 履约保证金作为违约金的一部分用于补偿甲方因乙方不能完成其合同义务而蒙受的损失。</w:t>
      </w:r>
    </w:p>
    <w:p>
      <w:pPr>
        <w:pStyle w:val="25"/>
        <w:spacing w:line="360" w:lineRule="auto"/>
        <w:ind w:left="420" w:leftChars="200" w:firstLine="61" w:firstLineChars="29"/>
        <w:rPr>
          <w:rFonts w:hAnsi="宋体"/>
          <w:b/>
          <w:color w:val="auto"/>
          <w:highlight w:val="none"/>
        </w:rPr>
      </w:pPr>
      <w:r>
        <w:rPr>
          <w:rFonts w:hint="eastAsia" w:hAnsi="宋体"/>
          <w:b/>
          <w:bCs/>
          <w:color w:val="auto"/>
          <w:highlight w:val="none"/>
        </w:rPr>
        <w:t>5.  产权</w:t>
      </w:r>
    </w:p>
    <w:p>
      <w:pPr>
        <w:pStyle w:val="25"/>
        <w:spacing w:line="360" w:lineRule="auto"/>
        <w:ind w:firstLine="420" w:firstLineChars="200"/>
        <w:rPr>
          <w:rFonts w:hAnsi="宋体"/>
          <w:b/>
          <w:color w:val="auto"/>
          <w:highlight w:val="none"/>
        </w:rPr>
      </w:pPr>
      <w:r>
        <w:rPr>
          <w:rFonts w:hint="eastAsia" w:hAnsi="宋体"/>
          <w:color w:val="auto"/>
          <w:highlight w:val="none"/>
        </w:rPr>
        <w:t xml:space="preserve">5.1 </w:t>
      </w:r>
      <w:r>
        <w:rPr>
          <w:rFonts w:hint="eastAsia" w:ascii="Times New Roman" w:hAnsi="Times New Roman"/>
          <w:color w:val="auto"/>
          <w:highlight w:val="none"/>
        </w:rPr>
        <w:t>乙方应保证所提供的服务或其任何一部分均不会侵犯任何第三方的专利权、商标权或著作权</w:t>
      </w:r>
      <w:r>
        <w:rPr>
          <w:rFonts w:hint="eastAsia" w:hAnsi="宋体"/>
          <w:bCs/>
          <w:color w:val="auto"/>
          <w:highlight w:val="none"/>
        </w:rPr>
        <w:t>。</w:t>
      </w:r>
    </w:p>
    <w:p>
      <w:pPr>
        <w:pStyle w:val="25"/>
        <w:spacing w:line="360" w:lineRule="auto"/>
        <w:ind w:firstLine="420" w:firstLineChars="200"/>
        <w:rPr>
          <w:rFonts w:hAnsi="宋体"/>
          <w:b/>
          <w:color w:val="auto"/>
          <w:highlight w:val="none"/>
        </w:rPr>
      </w:pPr>
      <w:r>
        <w:rPr>
          <w:rFonts w:hint="eastAsia" w:hAnsi="宋体"/>
          <w:color w:val="auto"/>
          <w:highlight w:val="none"/>
        </w:rPr>
        <w:t>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pStyle w:val="25"/>
        <w:spacing w:line="360" w:lineRule="auto"/>
        <w:ind w:firstLine="422" w:firstLineChars="200"/>
        <w:rPr>
          <w:rFonts w:hAnsi="宋体"/>
          <w:b/>
          <w:color w:val="auto"/>
          <w:highlight w:val="none"/>
        </w:rPr>
      </w:pPr>
      <w:r>
        <w:rPr>
          <w:rFonts w:hint="eastAsia" w:hAnsi="宋体"/>
          <w:b/>
          <w:bCs/>
          <w:color w:val="auto"/>
          <w:highlight w:val="none"/>
        </w:rPr>
        <w:t>6.  技术资料</w:t>
      </w:r>
    </w:p>
    <w:p>
      <w:pPr>
        <w:pStyle w:val="25"/>
        <w:tabs>
          <w:tab w:val="left" w:pos="0"/>
        </w:tabs>
        <w:spacing w:line="360" w:lineRule="auto"/>
        <w:ind w:firstLine="420" w:firstLineChars="200"/>
        <w:rPr>
          <w:rFonts w:hAnsi="宋体"/>
          <w:color w:val="auto"/>
          <w:highlight w:val="none"/>
        </w:rPr>
      </w:pPr>
      <w:r>
        <w:rPr>
          <w:rFonts w:hint="eastAsia" w:hAnsi="宋体"/>
          <w:color w:val="auto"/>
          <w:highlight w:val="none"/>
        </w:rPr>
        <w:t>6.1 甲方应向乙方提供提交服务成果所必需的有关数据、资料等。</w:t>
      </w:r>
    </w:p>
    <w:p>
      <w:pPr>
        <w:pStyle w:val="25"/>
        <w:tabs>
          <w:tab w:val="left" w:pos="0"/>
        </w:tabs>
        <w:spacing w:line="360" w:lineRule="auto"/>
        <w:ind w:firstLine="420" w:firstLineChars="200"/>
        <w:rPr>
          <w:rFonts w:hAnsi="宋体"/>
          <w:color w:val="auto"/>
          <w:highlight w:val="none"/>
        </w:rPr>
      </w:pPr>
      <w:r>
        <w:rPr>
          <w:rFonts w:hint="eastAsia" w:hAnsi="宋体"/>
          <w:color w:val="auto"/>
          <w:highlight w:val="none"/>
        </w:rPr>
        <w:t>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5"/>
        <w:spacing w:line="360" w:lineRule="auto"/>
        <w:ind w:firstLine="422" w:firstLineChars="200"/>
        <w:rPr>
          <w:rFonts w:hAnsi="宋体"/>
          <w:b/>
          <w:bCs/>
          <w:color w:val="auto"/>
          <w:highlight w:val="none"/>
        </w:rPr>
      </w:pPr>
      <w:r>
        <w:rPr>
          <w:rFonts w:hint="eastAsia" w:hAnsi="宋体"/>
          <w:b/>
          <w:bCs/>
          <w:color w:val="auto"/>
          <w:highlight w:val="none"/>
        </w:rPr>
        <w:t>7.  验收</w:t>
      </w:r>
    </w:p>
    <w:p>
      <w:pPr>
        <w:pStyle w:val="25"/>
        <w:tabs>
          <w:tab w:val="left" w:pos="0"/>
        </w:tabs>
        <w:spacing w:line="360" w:lineRule="auto"/>
        <w:ind w:firstLine="420" w:firstLineChars="200"/>
        <w:rPr>
          <w:rFonts w:hAnsi="宋体"/>
          <w:color w:val="auto"/>
          <w:highlight w:val="none"/>
        </w:rPr>
      </w:pPr>
      <w:r>
        <w:rPr>
          <w:rFonts w:hint="eastAsia" w:hAnsi="宋体"/>
          <w:color w:val="auto"/>
          <w:highlight w:val="none"/>
        </w:rPr>
        <w:t>7.1 乙方应对提交的服务成果作出全面检查和整理，并列出清单，作为甲方验收和使用的技术条件依据，清单应随提交的服务成果交给甲方。</w:t>
      </w:r>
    </w:p>
    <w:p>
      <w:pPr>
        <w:pStyle w:val="25"/>
        <w:tabs>
          <w:tab w:val="left" w:pos="0"/>
        </w:tabs>
        <w:spacing w:line="360" w:lineRule="auto"/>
        <w:ind w:firstLine="420" w:firstLineChars="200"/>
        <w:rPr>
          <w:rFonts w:hAnsi="宋体"/>
          <w:color w:val="auto"/>
          <w:highlight w:val="none"/>
        </w:rPr>
      </w:pPr>
      <w:r>
        <w:rPr>
          <w:rFonts w:hint="eastAsia" w:hAnsi="宋体"/>
          <w:color w:val="auto"/>
          <w:highlight w:val="none"/>
        </w:rPr>
        <w:t>7.2 乙方在指定地点提交服务成果后，甲方应在5个工作日内依据招标文件、乙方的投标文件等组织验收，验收完毕后作出书面验收报告。验收时乙方必须在现场。</w:t>
      </w:r>
    </w:p>
    <w:p>
      <w:pPr>
        <w:pStyle w:val="25"/>
        <w:tabs>
          <w:tab w:val="left" w:pos="0"/>
        </w:tabs>
        <w:spacing w:line="360" w:lineRule="auto"/>
        <w:ind w:firstLine="420" w:firstLineChars="200"/>
        <w:rPr>
          <w:rFonts w:hAnsi="宋体"/>
          <w:color w:val="auto"/>
          <w:highlight w:val="none"/>
        </w:rPr>
      </w:pPr>
      <w:r>
        <w:rPr>
          <w:rFonts w:hint="eastAsia" w:hAnsi="宋体"/>
          <w:color w:val="auto"/>
          <w:highlight w:val="none"/>
        </w:rPr>
        <w:t>7.3 对复杂的服务，甲方可请国家认可的专业机构参与验收，并由其出具验收报告，相关费用由甲方承担。</w:t>
      </w:r>
    </w:p>
    <w:p>
      <w:pPr>
        <w:pStyle w:val="25"/>
        <w:spacing w:line="360" w:lineRule="auto"/>
        <w:ind w:firstLine="422" w:firstLineChars="200"/>
        <w:rPr>
          <w:rFonts w:hAnsi="宋体"/>
          <w:b/>
          <w:bCs/>
          <w:color w:val="auto"/>
          <w:highlight w:val="none"/>
        </w:rPr>
      </w:pPr>
      <w:r>
        <w:rPr>
          <w:rFonts w:hint="eastAsia" w:hAnsi="宋体"/>
          <w:b/>
          <w:bCs/>
          <w:color w:val="auto"/>
          <w:highlight w:val="none"/>
        </w:rPr>
        <w:t>8.  合同款支付</w:t>
      </w:r>
    </w:p>
    <w:p>
      <w:pPr>
        <w:tabs>
          <w:tab w:val="left" w:pos="3490"/>
          <w:tab w:val="left" w:pos="3670"/>
          <w:tab w:val="left" w:pos="3895"/>
        </w:tabs>
        <w:spacing w:line="360" w:lineRule="auto"/>
        <w:ind w:firstLine="420" w:firstLineChars="200"/>
        <w:rPr>
          <w:rFonts w:hAnsi="宋体"/>
          <w:bCs/>
          <w:color w:val="auto"/>
          <w:szCs w:val="21"/>
          <w:highlight w:val="none"/>
          <w:u w:val="single"/>
        </w:rPr>
      </w:pPr>
      <w:r>
        <w:rPr>
          <w:rFonts w:hint="eastAsia" w:hAnsi="宋体"/>
          <w:bCs/>
          <w:color w:val="auto"/>
          <w:szCs w:val="21"/>
          <w:highlight w:val="none"/>
        </w:rPr>
        <w:t xml:space="preserve"> 付款方式：</w:t>
      </w:r>
      <w:r>
        <w:rPr>
          <w:rFonts w:hint="eastAsia" w:hAnsi="宋体"/>
          <w:bCs/>
          <w:color w:val="auto"/>
          <w:szCs w:val="21"/>
          <w:highlight w:val="none"/>
          <w:u w:val="single"/>
        </w:rPr>
        <w:t xml:space="preserve">                                                            </w:t>
      </w:r>
      <w:r>
        <w:rPr>
          <w:rFonts w:hAnsi="宋体"/>
          <w:bCs/>
          <w:color w:val="auto"/>
          <w:szCs w:val="21"/>
          <w:highlight w:val="none"/>
          <w:u w:val="single"/>
        </w:rPr>
        <w:t xml:space="preserve"> </w:t>
      </w:r>
    </w:p>
    <w:p>
      <w:pPr>
        <w:pStyle w:val="25"/>
        <w:spacing w:line="360" w:lineRule="auto"/>
        <w:ind w:firstLine="422" w:firstLineChars="200"/>
        <w:rPr>
          <w:rFonts w:hAnsi="宋体"/>
          <w:b/>
          <w:bCs/>
          <w:color w:val="auto"/>
          <w:highlight w:val="none"/>
        </w:rPr>
      </w:pPr>
      <w:r>
        <w:rPr>
          <w:rFonts w:hint="eastAsia" w:hAnsi="宋体"/>
          <w:b/>
          <w:bCs/>
          <w:color w:val="auto"/>
          <w:highlight w:val="none"/>
        </w:rPr>
        <w:t>9.  售后服务要求</w:t>
      </w:r>
    </w:p>
    <w:p>
      <w:pPr>
        <w:pStyle w:val="25"/>
        <w:spacing w:line="360" w:lineRule="auto"/>
        <w:ind w:firstLine="420" w:firstLineChars="200"/>
        <w:rPr>
          <w:rFonts w:hAnsi="宋体"/>
          <w:color w:val="auto"/>
          <w:highlight w:val="none"/>
        </w:rPr>
      </w:pPr>
      <w:r>
        <w:rPr>
          <w:rFonts w:hint="eastAsia" w:hAnsi="宋体"/>
          <w:color w:val="auto"/>
          <w:highlight w:val="none"/>
        </w:rPr>
        <w:t>9.1 乙方提供服务的质量保证期为：</w:t>
      </w:r>
      <w:r>
        <w:rPr>
          <w:rFonts w:hint="eastAsia" w:hAnsi="宋体"/>
          <w:color w:val="auto"/>
          <w:highlight w:val="none"/>
          <w:u w:val="single"/>
        </w:rPr>
        <w:t xml:space="preserve">　                </w:t>
      </w:r>
      <w:r>
        <w:rPr>
          <w:rFonts w:hint="eastAsia" w:hAnsi="宋体"/>
          <w:color w:val="auto"/>
          <w:highlight w:val="none"/>
        </w:rPr>
        <w:t>（自提交服务验收合格之日起计）</w:t>
      </w:r>
    </w:p>
    <w:p>
      <w:pPr>
        <w:pStyle w:val="25"/>
        <w:spacing w:line="360" w:lineRule="auto"/>
        <w:ind w:firstLine="420" w:firstLineChars="200"/>
        <w:rPr>
          <w:rFonts w:hAnsi="宋体"/>
          <w:color w:val="auto"/>
          <w:highlight w:val="none"/>
        </w:rPr>
      </w:pPr>
      <w:r>
        <w:rPr>
          <w:rFonts w:hint="eastAsia" w:hAnsi="宋体"/>
          <w:color w:val="auto"/>
          <w:highlight w:val="none"/>
        </w:rPr>
        <w:t>9.2 质量保证金为（大写）人民币</w:t>
      </w:r>
      <w:r>
        <w:rPr>
          <w:rFonts w:hint="eastAsia" w:hAnsi="宋体"/>
          <w:color w:val="auto"/>
          <w:highlight w:val="none"/>
          <w:u w:val="single"/>
        </w:rPr>
        <w:t xml:space="preserve">                    整</w:t>
      </w:r>
      <w:r>
        <w:rPr>
          <w:rFonts w:hint="eastAsia" w:hAnsi="宋体"/>
          <w:color w:val="auto"/>
          <w:highlight w:val="none"/>
        </w:rPr>
        <w:t>（￥</w:t>
      </w:r>
      <w:r>
        <w:rPr>
          <w:rFonts w:hint="eastAsia" w:hAnsi="宋体"/>
          <w:color w:val="auto"/>
          <w:highlight w:val="none"/>
          <w:u w:val="single"/>
        </w:rPr>
        <w:t xml:space="preserve">　    </w:t>
      </w:r>
      <w:r>
        <w:rPr>
          <w:rFonts w:hint="eastAsia" w:hAnsi="宋体"/>
          <w:color w:val="auto"/>
          <w:highlight w:val="none"/>
        </w:rPr>
        <w:t>元）（履约保证金在中标供应商按合同约定所提交的服务验收合格后自行转为质保金。）</w:t>
      </w:r>
    </w:p>
    <w:p>
      <w:pPr>
        <w:pStyle w:val="25"/>
        <w:spacing w:line="360" w:lineRule="auto"/>
        <w:ind w:firstLine="420" w:firstLineChars="200"/>
        <w:rPr>
          <w:rFonts w:hAnsi="宋体"/>
          <w:color w:val="auto"/>
          <w:highlight w:val="none"/>
        </w:rPr>
      </w:pPr>
      <w:r>
        <w:rPr>
          <w:rFonts w:hint="eastAsia" w:hAnsi="宋体"/>
          <w:color w:val="auto"/>
          <w:highlight w:val="none"/>
        </w:rPr>
        <w:t>9.3 履约保证金自合同生效之日起转为质量保证金。在质保期内乙方提供的服务质量符合合同约定，经验收合格，质保期满后乙方向甲方办理退付手续，甲方将在收到完整且合格的退付申请资料后五个工作日内以转账或电汇方式无息退还乙方。</w:t>
      </w:r>
    </w:p>
    <w:p>
      <w:pPr>
        <w:pStyle w:val="25"/>
        <w:spacing w:line="360" w:lineRule="auto"/>
        <w:ind w:firstLine="420" w:firstLineChars="200"/>
        <w:rPr>
          <w:rFonts w:hAnsi="宋体"/>
          <w:color w:val="auto"/>
          <w:highlight w:val="none"/>
        </w:rPr>
      </w:pPr>
      <w:r>
        <w:rPr>
          <w:rFonts w:hint="eastAsia" w:hAnsi="宋体"/>
          <w:color w:val="auto"/>
          <w:highlight w:val="none"/>
        </w:rPr>
        <w:t>9.4 在本合同第9.1项约定的质量保证期内，乙方应对服务出现的问题负责处理解决并承担一切费用。</w:t>
      </w:r>
    </w:p>
    <w:p>
      <w:pPr>
        <w:pStyle w:val="25"/>
        <w:spacing w:line="360" w:lineRule="auto"/>
        <w:ind w:firstLine="420" w:firstLineChars="200"/>
        <w:rPr>
          <w:rFonts w:hAnsi="宋体"/>
          <w:color w:val="auto"/>
          <w:highlight w:val="none"/>
          <w:u w:val="single"/>
        </w:rPr>
      </w:pPr>
      <w:r>
        <w:rPr>
          <w:rFonts w:hint="eastAsia" w:hAnsi="宋体"/>
          <w:color w:val="auto"/>
          <w:highlight w:val="none"/>
        </w:rPr>
        <w:t>9.5 其他售后服务要求：</w:t>
      </w:r>
      <w:r>
        <w:rPr>
          <w:rFonts w:hint="eastAsia" w:hAnsi="宋体"/>
          <w:color w:val="auto"/>
          <w:highlight w:val="none"/>
          <w:u w:val="single"/>
        </w:rPr>
        <w:t>按响应文件商务条款偏离表及澄清函（商务条款偏离表与澄清函不一致的以澄清函为准）内容执行。</w:t>
      </w:r>
    </w:p>
    <w:p>
      <w:pPr>
        <w:pStyle w:val="25"/>
        <w:spacing w:line="360" w:lineRule="auto"/>
        <w:ind w:firstLine="422" w:firstLineChars="200"/>
        <w:rPr>
          <w:rFonts w:hAnsi="宋体"/>
          <w:b/>
          <w:bCs/>
          <w:color w:val="auto"/>
          <w:highlight w:val="none"/>
        </w:rPr>
      </w:pPr>
      <w:r>
        <w:rPr>
          <w:rFonts w:hint="eastAsia" w:hAnsi="宋体"/>
          <w:b/>
          <w:bCs/>
          <w:color w:val="auto"/>
          <w:highlight w:val="none"/>
        </w:rPr>
        <w:t>10.  违约责任</w:t>
      </w:r>
    </w:p>
    <w:p>
      <w:pPr>
        <w:pStyle w:val="25"/>
        <w:spacing w:line="360" w:lineRule="auto"/>
        <w:ind w:firstLine="420" w:firstLineChars="200"/>
        <w:rPr>
          <w:rFonts w:hAnsi="宋体"/>
          <w:color w:val="auto"/>
          <w:highlight w:val="none"/>
        </w:rPr>
      </w:pPr>
      <w:r>
        <w:rPr>
          <w:rFonts w:hint="eastAsia" w:hAnsi="宋体"/>
          <w:color w:val="auto"/>
          <w:highlight w:val="none"/>
        </w:rPr>
        <w:t>10.1 甲方无正当理由拒收服务的，甲方向乙方偿付拒收服务费总值的百分之五违约金。</w:t>
      </w:r>
    </w:p>
    <w:p>
      <w:pPr>
        <w:pStyle w:val="25"/>
        <w:spacing w:line="360" w:lineRule="auto"/>
        <w:ind w:firstLine="420" w:firstLineChars="200"/>
        <w:rPr>
          <w:rFonts w:hAnsi="宋体"/>
          <w:color w:val="auto"/>
          <w:highlight w:val="none"/>
        </w:rPr>
      </w:pPr>
      <w:r>
        <w:rPr>
          <w:rFonts w:hint="eastAsia" w:hAnsi="宋体"/>
          <w:color w:val="auto"/>
          <w:highlight w:val="none"/>
        </w:rPr>
        <w:t>10.2 甲方无故逾期验收或办理合同款支付手续的，甲方应按逾期付款总额每日万分之五向乙方支付违约金。</w:t>
      </w:r>
    </w:p>
    <w:p>
      <w:pPr>
        <w:pStyle w:val="25"/>
        <w:spacing w:line="360" w:lineRule="auto"/>
        <w:ind w:firstLine="420" w:firstLineChars="200"/>
        <w:rPr>
          <w:rFonts w:hAnsi="宋体"/>
          <w:color w:val="auto"/>
          <w:highlight w:val="none"/>
        </w:rPr>
      </w:pPr>
      <w:r>
        <w:rPr>
          <w:rFonts w:hint="eastAsia" w:hAnsi="宋体"/>
          <w:color w:val="auto"/>
          <w:highlight w:val="none"/>
        </w:rPr>
        <w:t>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pStyle w:val="25"/>
        <w:spacing w:line="360" w:lineRule="auto"/>
        <w:ind w:firstLine="422" w:firstLineChars="200"/>
        <w:rPr>
          <w:rFonts w:hAnsi="宋体"/>
          <w:b/>
          <w:bCs/>
          <w:color w:val="auto"/>
          <w:highlight w:val="none"/>
        </w:rPr>
      </w:pPr>
      <w:r>
        <w:rPr>
          <w:rFonts w:hint="eastAsia" w:hAnsi="宋体"/>
          <w:b/>
          <w:bCs/>
          <w:color w:val="auto"/>
          <w:highlight w:val="none"/>
        </w:rPr>
        <w:t>11.  不可抗力事件处理</w:t>
      </w:r>
    </w:p>
    <w:p>
      <w:pPr>
        <w:pStyle w:val="25"/>
        <w:spacing w:line="360" w:lineRule="auto"/>
        <w:ind w:firstLine="420" w:firstLineChars="200"/>
        <w:rPr>
          <w:rFonts w:hAnsi="宋体"/>
          <w:color w:val="auto"/>
          <w:highlight w:val="none"/>
        </w:rPr>
      </w:pPr>
      <w:r>
        <w:rPr>
          <w:rFonts w:hint="eastAsia" w:hAnsi="宋体"/>
          <w:color w:val="auto"/>
          <w:highlight w:val="none"/>
        </w:rPr>
        <w:t>11.1 在合同有效期内，任何一方因不可抗力事件导致不能履行合同，则合同履行期可延长，其延长期与不可抗力影响期相同。</w:t>
      </w:r>
    </w:p>
    <w:p>
      <w:pPr>
        <w:pStyle w:val="25"/>
        <w:spacing w:line="360" w:lineRule="auto"/>
        <w:ind w:firstLine="420" w:firstLineChars="200"/>
        <w:rPr>
          <w:rFonts w:hAnsi="宋体"/>
          <w:color w:val="auto"/>
          <w:highlight w:val="none"/>
        </w:rPr>
      </w:pPr>
      <w:r>
        <w:rPr>
          <w:rFonts w:hint="eastAsia" w:hAnsi="宋体"/>
          <w:color w:val="auto"/>
          <w:highlight w:val="none"/>
        </w:rPr>
        <w:t>11.2 不可抗力事件发生后，应立即通知对方，并寄送有关权威机构出具的证明。</w:t>
      </w:r>
    </w:p>
    <w:p>
      <w:pPr>
        <w:pStyle w:val="25"/>
        <w:spacing w:line="360" w:lineRule="auto"/>
        <w:ind w:firstLine="420" w:firstLineChars="200"/>
        <w:rPr>
          <w:rFonts w:hAnsi="宋体"/>
          <w:color w:val="auto"/>
          <w:highlight w:val="none"/>
        </w:rPr>
      </w:pPr>
      <w:r>
        <w:rPr>
          <w:rFonts w:hint="eastAsia" w:hAnsi="宋体"/>
          <w:color w:val="auto"/>
          <w:highlight w:val="none"/>
        </w:rPr>
        <w:t>11.3 不可抗力事件延续120天以上，双方应通过友好协商，确定是否继续履行合同。</w:t>
      </w:r>
    </w:p>
    <w:p>
      <w:pPr>
        <w:pStyle w:val="25"/>
        <w:spacing w:line="360" w:lineRule="auto"/>
        <w:ind w:firstLine="422" w:firstLineChars="200"/>
        <w:rPr>
          <w:rFonts w:hAnsi="宋体"/>
          <w:b/>
          <w:bCs/>
          <w:color w:val="auto"/>
          <w:highlight w:val="none"/>
        </w:rPr>
      </w:pPr>
      <w:r>
        <w:rPr>
          <w:rFonts w:hint="eastAsia" w:hAnsi="宋体"/>
          <w:b/>
          <w:bCs/>
          <w:color w:val="auto"/>
          <w:highlight w:val="none"/>
        </w:rPr>
        <w:t>12.  诉讼</w:t>
      </w:r>
    </w:p>
    <w:p>
      <w:pPr>
        <w:pStyle w:val="25"/>
        <w:tabs>
          <w:tab w:val="left" w:pos="0"/>
        </w:tabs>
        <w:spacing w:line="360" w:lineRule="auto"/>
        <w:ind w:firstLine="420" w:firstLineChars="200"/>
        <w:rPr>
          <w:rFonts w:hAnsi="宋体"/>
          <w:color w:val="auto"/>
          <w:highlight w:val="none"/>
        </w:rPr>
      </w:pPr>
      <w:r>
        <w:rPr>
          <w:rFonts w:hint="eastAsia" w:hAnsi="宋体"/>
          <w:color w:val="auto"/>
          <w:highlight w:val="none"/>
        </w:rPr>
        <w:t>12.1 双方在执行合同中所发生的一切争议，应通过协商解决。如协商不成，可向合同签订地法院起诉，合同签订地在此约定为广西南宁市青秀区。</w:t>
      </w:r>
    </w:p>
    <w:p>
      <w:pPr>
        <w:pStyle w:val="25"/>
        <w:spacing w:line="360" w:lineRule="auto"/>
        <w:ind w:firstLine="422" w:firstLineChars="200"/>
        <w:rPr>
          <w:rFonts w:hAnsi="宋体"/>
          <w:b/>
          <w:bCs/>
          <w:color w:val="auto"/>
          <w:highlight w:val="none"/>
        </w:rPr>
      </w:pPr>
      <w:r>
        <w:rPr>
          <w:rFonts w:hint="eastAsia" w:hAnsi="宋体"/>
          <w:b/>
          <w:bCs/>
          <w:color w:val="auto"/>
          <w:highlight w:val="none"/>
        </w:rPr>
        <w:t>13.  合同生效及其它</w:t>
      </w:r>
    </w:p>
    <w:p>
      <w:pPr>
        <w:pStyle w:val="25"/>
        <w:spacing w:line="360" w:lineRule="auto"/>
        <w:ind w:firstLine="420" w:firstLineChars="200"/>
        <w:rPr>
          <w:rFonts w:hAnsi="宋体"/>
          <w:color w:val="auto"/>
          <w:highlight w:val="none"/>
        </w:rPr>
      </w:pPr>
      <w:r>
        <w:rPr>
          <w:rFonts w:hint="eastAsia" w:hAnsi="宋体"/>
          <w:color w:val="auto"/>
          <w:highlight w:val="none"/>
        </w:rPr>
        <w:t>13.1 合同经双方法定代表人或授权委托代理人签字并加盖单位公章后生效。</w:t>
      </w:r>
    </w:p>
    <w:p>
      <w:pPr>
        <w:pStyle w:val="25"/>
        <w:spacing w:line="360" w:lineRule="auto"/>
        <w:ind w:firstLine="420" w:firstLineChars="200"/>
        <w:rPr>
          <w:rFonts w:hAnsi="宋体"/>
          <w:color w:val="auto"/>
          <w:highlight w:val="none"/>
        </w:rPr>
      </w:pPr>
      <w:r>
        <w:rPr>
          <w:rFonts w:hint="eastAsia" w:hAnsi="宋体"/>
          <w:color w:val="auto"/>
          <w:highlight w:val="none"/>
        </w:rPr>
        <w:t>13.2 合同执行中涉及采购资金和采购内容修改或补充的，须签书面补充协议，方可作为主合同不可分割的一部分。</w:t>
      </w:r>
    </w:p>
    <w:p>
      <w:pPr>
        <w:pStyle w:val="25"/>
        <w:spacing w:line="360" w:lineRule="auto"/>
        <w:ind w:firstLine="420" w:firstLineChars="200"/>
        <w:rPr>
          <w:rFonts w:hAnsi="宋体"/>
          <w:color w:val="auto"/>
          <w:highlight w:val="none"/>
        </w:rPr>
      </w:pPr>
      <w:r>
        <w:rPr>
          <w:rFonts w:hint="eastAsia" w:hAnsi="宋体"/>
          <w:color w:val="auto"/>
          <w:highlight w:val="none"/>
        </w:rPr>
        <w:t>13.3 下述合同附件为本合同不可分割的部分并与本合同具有同等效力：</w:t>
      </w:r>
    </w:p>
    <w:p>
      <w:pPr>
        <w:pStyle w:val="25"/>
        <w:spacing w:line="360" w:lineRule="auto"/>
        <w:ind w:firstLine="420" w:firstLineChars="200"/>
        <w:rPr>
          <w:rFonts w:hAnsi="宋体"/>
          <w:color w:val="auto"/>
          <w:highlight w:val="none"/>
        </w:rPr>
      </w:pPr>
      <w:r>
        <w:rPr>
          <w:rFonts w:hint="eastAsia" w:hAnsi="宋体"/>
          <w:color w:val="auto"/>
          <w:highlight w:val="none"/>
        </w:rPr>
        <w:t>（1）中标通知书；</w:t>
      </w:r>
    </w:p>
    <w:p>
      <w:pPr>
        <w:pStyle w:val="25"/>
        <w:spacing w:line="360" w:lineRule="auto"/>
        <w:ind w:firstLine="420" w:firstLineChars="200"/>
        <w:rPr>
          <w:rFonts w:hAnsi="宋体"/>
          <w:color w:val="auto"/>
          <w:highlight w:val="none"/>
        </w:rPr>
      </w:pPr>
      <w:r>
        <w:rPr>
          <w:rFonts w:hint="eastAsia" w:hAnsi="宋体"/>
          <w:color w:val="auto"/>
          <w:highlight w:val="none"/>
        </w:rPr>
        <w:t>（2）履约保证金交纳证明；</w:t>
      </w:r>
    </w:p>
    <w:p>
      <w:pPr>
        <w:pStyle w:val="25"/>
        <w:spacing w:line="360" w:lineRule="auto"/>
        <w:ind w:firstLine="420" w:firstLineChars="200"/>
        <w:rPr>
          <w:rFonts w:hAnsi="宋体"/>
          <w:color w:val="auto"/>
          <w:highlight w:val="none"/>
        </w:rPr>
      </w:pPr>
      <w:r>
        <w:rPr>
          <w:rFonts w:hint="eastAsia" w:hAnsi="宋体"/>
          <w:color w:val="auto"/>
          <w:highlight w:val="none"/>
        </w:rPr>
        <w:t>（3）招标文件服务需求一览表；</w:t>
      </w:r>
    </w:p>
    <w:p>
      <w:pPr>
        <w:pStyle w:val="25"/>
        <w:spacing w:line="360" w:lineRule="auto"/>
        <w:ind w:firstLine="420" w:firstLineChars="200"/>
        <w:rPr>
          <w:rFonts w:hAnsi="宋体"/>
          <w:color w:val="auto"/>
          <w:highlight w:val="none"/>
        </w:rPr>
      </w:pPr>
      <w:r>
        <w:rPr>
          <w:rFonts w:hint="eastAsia" w:hAnsi="宋体"/>
          <w:color w:val="auto"/>
          <w:highlight w:val="none"/>
        </w:rPr>
        <w:t>（4）招标文件的澄清和修改；</w:t>
      </w:r>
    </w:p>
    <w:p>
      <w:pPr>
        <w:pStyle w:val="25"/>
        <w:spacing w:line="360" w:lineRule="auto"/>
        <w:ind w:firstLine="420" w:firstLineChars="200"/>
        <w:rPr>
          <w:rFonts w:hAnsi="宋体"/>
          <w:color w:val="auto"/>
          <w:highlight w:val="none"/>
        </w:rPr>
      </w:pPr>
      <w:r>
        <w:rPr>
          <w:rFonts w:hint="eastAsia" w:hAnsi="宋体"/>
          <w:color w:val="auto"/>
          <w:highlight w:val="none"/>
        </w:rPr>
        <w:t>（5）投标函、报价表；</w:t>
      </w:r>
    </w:p>
    <w:p>
      <w:pPr>
        <w:pStyle w:val="25"/>
        <w:spacing w:line="360" w:lineRule="auto"/>
        <w:ind w:firstLine="420" w:firstLineChars="200"/>
        <w:rPr>
          <w:rFonts w:hAnsi="宋体"/>
          <w:color w:val="auto"/>
          <w:highlight w:val="none"/>
        </w:rPr>
      </w:pPr>
      <w:r>
        <w:rPr>
          <w:rFonts w:hint="eastAsia" w:hAnsi="宋体"/>
          <w:color w:val="auto"/>
          <w:highlight w:val="none"/>
        </w:rPr>
        <w:t>（6）投标服务技术资料表、商务条款偏离表、售后服务承诺书；</w:t>
      </w:r>
    </w:p>
    <w:p>
      <w:pPr>
        <w:pStyle w:val="25"/>
        <w:spacing w:line="360" w:lineRule="auto"/>
        <w:ind w:firstLine="420" w:firstLineChars="200"/>
        <w:rPr>
          <w:rFonts w:hAnsi="宋体"/>
          <w:color w:val="auto"/>
          <w:highlight w:val="none"/>
        </w:rPr>
      </w:pPr>
      <w:r>
        <w:rPr>
          <w:rFonts w:hint="eastAsia" w:hAnsi="宋体"/>
          <w:color w:val="auto"/>
          <w:highlight w:val="none"/>
        </w:rPr>
        <w:t>（7）中标供应商澄清函。</w:t>
      </w:r>
    </w:p>
    <w:p>
      <w:pPr>
        <w:pStyle w:val="25"/>
        <w:spacing w:line="360" w:lineRule="auto"/>
        <w:ind w:firstLine="420" w:firstLineChars="200"/>
        <w:rPr>
          <w:rFonts w:hAnsi="宋体"/>
          <w:color w:val="auto"/>
          <w:highlight w:val="none"/>
        </w:rPr>
      </w:pPr>
      <w:r>
        <w:rPr>
          <w:rFonts w:hint="eastAsia" w:hAnsi="宋体"/>
          <w:color w:val="auto"/>
          <w:highlight w:val="none"/>
        </w:rPr>
        <w:t>13.4 本合同未尽事宜，遵照《中华人民共和国合同法》有关条文执行。</w:t>
      </w:r>
    </w:p>
    <w:p>
      <w:pPr>
        <w:pStyle w:val="25"/>
        <w:spacing w:line="360" w:lineRule="auto"/>
        <w:ind w:firstLine="420" w:firstLineChars="200"/>
        <w:rPr>
          <w:rFonts w:hAnsi="宋体"/>
          <w:color w:val="auto"/>
          <w:highlight w:val="none"/>
        </w:rPr>
      </w:pPr>
      <w:r>
        <w:rPr>
          <w:rFonts w:hint="eastAsia" w:hAnsi="宋体"/>
          <w:color w:val="auto"/>
          <w:highlight w:val="none"/>
        </w:rPr>
        <w:t>13.5 本合同正本一式6份，具有同等法律效力。</w:t>
      </w:r>
    </w:p>
    <w:p>
      <w:pPr>
        <w:pStyle w:val="25"/>
        <w:spacing w:line="360" w:lineRule="auto"/>
        <w:ind w:firstLine="360"/>
        <w:rPr>
          <w:rFonts w:hAnsi="宋体"/>
          <w:color w:val="auto"/>
          <w:highlight w:val="none"/>
        </w:rPr>
      </w:pPr>
    </w:p>
    <w:p>
      <w:pPr>
        <w:pStyle w:val="25"/>
        <w:spacing w:line="360" w:lineRule="auto"/>
        <w:rPr>
          <w:rFonts w:hAnsi="宋体"/>
          <w:color w:val="auto"/>
          <w:highlight w:val="none"/>
        </w:rPr>
      </w:pPr>
    </w:p>
    <w:p>
      <w:pPr>
        <w:pStyle w:val="25"/>
        <w:spacing w:line="360" w:lineRule="auto"/>
        <w:rPr>
          <w:rFonts w:hAnsi="宋体"/>
          <w:color w:val="auto"/>
          <w:highlight w:val="none"/>
          <w:u w:val="single"/>
        </w:rPr>
      </w:pPr>
      <w:r>
        <w:rPr>
          <w:rFonts w:hint="eastAsia" w:hAnsi="宋体"/>
          <w:color w:val="auto"/>
          <w:highlight w:val="none"/>
        </w:rPr>
        <w:t>甲方：</w:t>
      </w:r>
      <w:r>
        <w:rPr>
          <w:rFonts w:hint="eastAsia" w:hAnsi="宋体"/>
          <w:color w:val="auto"/>
          <w:highlight w:val="none"/>
          <w:u w:val="single"/>
        </w:rPr>
        <w:t xml:space="preserve">                             </w:t>
      </w:r>
      <w:r>
        <w:rPr>
          <w:rFonts w:hint="eastAsia" w:hAnsi="宋体"/>
          <w:color w:val="auto"/>
          <w:highlight w:val="none"/>
        </w:rPr>
        <w:t xml:space="preserve">     乙方：</w:t>
      </w:r>
      <w:r>
        <w:rPr>
          <w:rFonts w:hint="eastAsia" w:hAnsi="宋体"/>
          <w:color w:val="auto"/>
          <w:highlight w:val="none"/>
          <w:u w:val="single"/>
        </w:rPr>
        <w:t xml:space="preserve">                         </w:t>
      </w:r>
    </w:p>
    <w:p>
      <w:pPr>
        <w:pStyle w:val="25"/>
        <w:spacing w:line="360" w:lineRule="auto"/>
        <w:ind w:left="5460" w:hanging="5460" w:hangingChars="2600"/>
        <w:rPr>
          <w:rFonts w:hAnsi="宋体"/>
          <w:color w:val="auto"/>
          <w:highlight w:val="none"/>
          <w:u w:val="single"/>
        </w:rPr>
      </w:pPr>
      <w:r>
        <w:rPr>
          <w:rFonts w:hint="eastAsia" w:hAnsi="宋体"/>
          <w:color w:val="auto"/>
          <w:highlight w:val="none"/>
        </w:rPr>
        <w:t>地址：</w:t>
      </w:r>
      <w:r>
        <w:rPr>
          <w:rFonts w:hint="eastAsia" w:hAnsi="宋体"/>
          <w:color w:val="auto"/>
          <w:highlight w:val="none"/>
          <w:u w:val="single"/>
        </w:rPr>
        <w:t xml:space="preserve">                              </w:t>
      </w:r>
      <w:r>
        <w:rPr>
          <w:rFonts w:hint="eastAsia" w:hAnsi="宋体"/>
          <w:color w:val="auto"/>
          <w:highlight w:val="none"/>
        </w:rPr>
        <w:t xml:space="preserve">    地址：</w:t>
      </w:r>
      <w:r>
        <w:rPr>
          <w:rFonts w:hint="eastAsia" w:hAnsi="宋体"/>
          <w:color w:val="auto"/>
          <w:highlight w:val="none"/>
          <w:u w:val="single"/>
        </w:rPr>
        <w:t xml:space="preserve">                        </w:t>
      </w:r>
      <w:r>
        <w:rPr>
          <w:rFonts w:hint="eastAsia" w:hAnsi="宋体"/>
          <w:color w:val="auto"/>
          <w:highlight w:val="none"/>
        </w:rPr>
        <w:t xml:space="preserve">    </w:t>
      </w:r>
    </w:p>
    <w:p>
      <w:pPr>
        <w:pStyle w:val="25"/>
        <w:spacing w:line="360" w:lineRule="auto"/>
        <w:rPr>
          <w:rFonts w:hAnsi="宋体"/>
          <w:color w:val="auto"/>
          <w:highlight w:val="none"/>
        </w:rPr>
      </w:pPr>
      <w:r>
        <w:rPr>
          <w:rFonts w:hint="eastAsia" w:hAnsi="宋体"/>
          <w:color w:val="auto"/>
          <w:highlight w:val="none"/>
        </w:rPr>
        <w:t>法定代表人：</w:t>
      </w:r>
      <w:r>
        <w:rPr>
          <w:rFonts w:hint="eastAsia" w:hAnsi="宋体"/>
          <w:color w:val="auto"/>
          <w:highlight w:val="none"/>
          <w:u w:val="single"/>
        </w:rPr>
        <w:t xml:space="preserve">                        </w:t>
      </w:r>
      <w:r>
        <w:rPr>
          <w:rFonts w:hint="eastAsia" w:hAnsi="宋体"/>
          <w:color w:val="auto"/>
          <w:highlight w:val="none"/>
        </w:rPr>
        <w:t xml:space="preserve">    法定代表人：</w:t>
      </w:r>
      <w:r>
        <w:rPr>
          <w:rFonts w:hint="eastAsia" w:hAnsi="宋体"/>
          <w:color w:val="auto"/>
          <w:highlight w:val="none"/>
          <w:u w:val="single"/>
        </w:rPr>
        <w:t xml:space="preserve">                            </w:t>
      </w:r>
    </w:p>
    <w:p>
      <w:pPr>
        <w:pStyle w:val="25"/>
        <w:spacing w:line="360" w:lineRule="auto"/>
        <w:rPr>
          <w:rFonts w:hAnsi="宋体"/>
          <w:color w:val="auto"/>
          <w:highlight w:val="none"/>
        </w:rPr>
      </w:pPr>
      <w:r>
        <w:rPr>
          <w:rFonts w:hint="eastAsia" w:hAnsi="宋体"/>
          <w:color w:val="auto"/>
          <w:highlight w:val="none"/>
        </w:rPr>
        <w:t>委托代理人：</w:t>
      </w:r>
      <w:r>
        <w:rPr>
          <w:rFonts w:hint="eastAsia" w:hAnsi="宋体"/>
          <w:color w:val="auto"/>
          <w:highlight w:val="none"/>
          <w:u w:val="single"/>
        </w:rPr>
        <w:t xml:space="preserve">                       </w:t>
      </w:r>
      <w:r>
        <w:rPr>
          <w:rFonts w:hint="eastAsia" w:hAnsi="宋体"/>
          <w:color w:val="auto"/>
          <w:highlight w:val="none"/>
        </w:rPr>
        <w:t xml:space="preserve">     委托代理人：</w:t>
      </w:r>
      <w:r>
        <w:rPr>
          <w:rFonts w:hint="eastAsia" w:hAnsi="宋体"/>
          <w:color w:val="auto"/>
          <w:highlight w:val="none"/>
          <w:u w:val="single"/>
        </w:rPr>
        <w:t xml:space="preserve">                              </w:t>
      </w:r>
    </w:p>
    <w:p>
      <w:pPr>
        <w:pStyle w:val="25"/>
        <w:spacing w:line="360" w:lineRule="auto"/>
        <w:rPr>
          <w:rFonts w:hAnsi="宋体"/>
          <w:color w:val="auto"/>
          <w:highlight w:val="none"/>
        </w:rPr>
      </w:pPr>
      <w:r>
        <w:rPr>
          <w:rFonts w:hint="eastAsia" w:hAnsi="宋体"/>
          <w:color w:val="auto"/>
          <w:highlight w:val="none"/>
        </w:rPr>
        <w:t xml:space="preserve">电话：   </w:t>
      </w:r>
      <w:r>
        <w:rPr>
          <w:rFonts w:hint="eastAsia" w:hAnsi="宋体"/>
          <w:color w:val="auto"/>
          <w:highlight w:val="none"/>
          <w:u w:val="single"/>
        </w:rPr>
        <w:t xml:space="preserve">                          </w:t>
      </w:r>
      <w:r>
        <w:rPr>
          <w:rFonts w:hint="eastAsia" w:hAnsi="宋体"/>
          <w:color w:val="auto"/>
          <w:highlight w:val="none"/>
        </w:rPr>
        <w:t xml:space="preserve">     电话：</w:t>
      </w:r>
      <w:r>
        <w:rPr>
          <w:rFonts w:hint="eastAsia" w:hAnsi="宋体"/>
          <w:color w:val="auto"/>
          <w:highlight w:val="none"/>
          <w:u w:val="single"/>
        </w:rPr>
        <w:t xml:space="preserve">                                </w:t>
      </w:r>
      <w:r>
        <w:rPr>
          <w:rFonts w:hint="eastAsia" w:hAnsi="宋体"/>
          <w:color w:val="auto"/>
          <w:highlight w:val="none"/>
        </w:rPr>
        <w:t xml:space="preserve">       </w:t>
      </w:r>
    </w:p>
    <w:p>
      <w:pPr>
        <w:pStyle w:val="25"/>
        <w:spacing w:line="360" w:lineRule="auto"/>
        <w:rPr>
          <w:rFonts w:hAnsi="宋体"/>
          <w:color w:val="auto"/>
          <w:highlight w:val="none"/>
        </w:rPr>
      </w:pPr>
      <w:r>
        <w:rPr>
          <w:rFonts w:hint="eastAsia" w:hAnsi="宋体"/>
          <w:color w:val="auto"/>
          <w:highlight w:val="none"/>
        </w:rPr>
        <w:t>传真：</w:t>
      </w:r>
      <w:r>
        <w:rPr>
          <w:rFonts w:hint="eastAsia" w:hAnsi="宋体"/>
          <w:color w:val="auto"/>
          <w:highlight w:val="none"/>
          <w:u w:val="single"/>
        </w:rPr>
        <w:t xml:space="preserve">                              </w:t>
      </w:r>
      <w:r>
        <w:rPr>
          <w:rFonts w:hint="eastAsia" w:hAnsi="宋体"/>
          <w:color w:val="auto"/>
          <w:highlight w:val="none"/>
        </w:rPr>
        <w:t xml:space="preserve">    传真：</w:t>
      </w:r>
      <w:r>
        <w:rPr>
          <w:rFonts w:hint="eastAsia" w:hAnsi="宋体"/>
          <w:color w:val="auto"/>
          <w:highlight w:val="none"/>
          <w:u w:val="single"/>
        </w:rPr>
        <w:t xml:space="preserve">                                    </w:t>
      </w:r>
      <w:r>
        <w:rPr>
          <w:rFonts w:hint="eastAsia" w:hAnsi="宋体"/>
          <w:color w:val="auto"/>
          <w:highlight w:val="none"/>
        </w:rPr>
        <w:t xml:space="preserve">    </w:t>
      </w:r>
    </w:p>
    <w:p>
      <w:pPr>
        <w:pStyle w:val="25"/>
        <w:spacing w:line="360" w:lineRule="auto"/>
        <w:rPr>
          <w:rFonts w:hAnsi="宋体"/>
          <w:color w:val="auto"/>
          <w:highlight w:val="none"/>
          <w:u w:val="single"/>
        </w:rPr>
      </w:pPr>
      <w:r>
        <w:rPr>
          <w:rFonts w:hint="eastAsia" w:hAnsi="宋体"/>
          <w:color w:val="auto"/>
          <w:highlight w:val="none"/>
        </w:rPr>
        <w:t>邮政编码：</w:t>
      </w:r>
      <w:r>
        <w:rPr>
          <w:rFonts w:hint="eastAsia" w:hAnsi="宋体"/>
          <w:color w:val="auto"/>
          <w:highlight w:val="none"/>
          <w:u w:val="single"/>
        </w:rPr>
        <w:t xml:space="preserve">                          </w:t>
      </w:r>
      <w:r>
        <w:rPr>
          <w:rFonts w:hint="eastAsia" w:hAnsi="宋体"/>
          <w:color w:val="auto"/>
          <w:highlight w:val="none"/>
        </w:rPr>
        <w:t xml:space="preserve">   邮政编码：</w:t>
      </w:r>
      <w:r>
        <w:rPr>
          <w:rFonts w:hint="eastAsia" w:hAnsi="宋体"/>
          <w:color w:val="auto"/>
          <w:highlight w:val="none"/>
          <w:u w:val="single"/>
        </w:rPr>
        <w:t xml:space="preserve">                              </w:t>
      </w:r>
    </w:p>
    <w:p>
      <w:pPr>
        <w:pStyle w:val="25"/>
        <w:spacing w:line="360" w:lineRule="auto"/>
        <w:ind w:firstLine="4095" w:firstLineChars="1950"/>
        <w:rPr>
          <w:rFonts w:hAnsi="宋体"/>
          <w:color w:val="auto"/>
          <w:highlight w:val="none"/>
        </w:rPr>
      </w:pPr>
      <w:r>
        <w:rPr>
          <w:rFonts w:hint="eastAsia" w:hAnsi="宋体"/>
          <w:color w:val="auto"/>
          <w:highlight w:val="none"/>
        </w:rPr>
        <w:t>统一社会代码：</w:t>
      </w:r>
      <w:r>
        <w:rPr>
          <w:rFonts w:hint="eastAsia" w:hAnsi="宋体"/>
          <w:color w:val="auto"/>
          <w:highlight w:val="none"/>
          <w:u w:val="single"/>
        </w:rPr>
        <w:t xml:space="preserve">                </w:t>
      </w:r>
    </w:p>
    <w:p>
      <w:pPr>
        <w:pStyle w:val="25"/>
        <w:spacing w:line="360" w:lineRule="auto"/>
        <w:rPr>
          <w:rFonts w:hAnsi="宋体"/>
          <w:color w:val="auto"/>
          <w:highlight w:val="none"/>
          <w:u w:val="single"/>
        </w:rPr>
      </w:pPr>
      <w:r>
        <w:rPr>
          <w:rFonts w:hint="eastAsia" w:hAnsi="宋体"/>
          <w:color w:val="auto"/>
          <w:highlight w:val="none"/>
        </w:rPr>
        <w:t xml:space="preserve">                                       开户银行：  </w:t>
      </w:r>
      <w:r>
        <w:rPr>
          <w:rFonts w:hint="eastAsia" w:hAnsi="宋体"/>
          <w:color w:val="auto"/>
          <w:highlight w:val="none"/>
          <w:u w:val="single"/>
        </w:rPr>
        <w:t xml:space="preserve">                       </w:t>
      </w:r>
    </w:p>
    <w:p>
      <w:pPr>
        <w:pStyle w:val="25"/>
        <w:spacing w:line="360" w:lineRule="auto"/>
        <w:rPr>
          <w:rFonts w:hAnsi="宋体"/>
          <w:color w:val="auto"/>
          <w:highlight w:val="none"/>
          <w:u w:val="single"/>
        </w:rPr>
      </w:pPr>
      <w:r>
        <w:rPr>
          <w:rFonts w:hint="eastAsia" w:hAnsi="宋体"/>
          <w:color w:val="auto"/>
          <w:highlight w:val="none"/>
        </w:rPr>
        <w:t xml:space="preserve">                                       开户名称：</w:t>
      </w:r>
      <w:r>
        <w:rPr>
          <w:rFonts w:hint="eastAsia" w:hAnsi="宋体"/>
          <w:color w:val="auto"/>
          <w:highlight w:val="none"/>
          <w:u w:val="single"/>
        </w:rPr>
        <w:t xml:space="preserve">    </w:t>
      </w:r>
      <w:r>
        <w:rPr>
          <w:rFonts w:hint="eastAsia" w:hAnsi="宋体"/>
          <w:color w:val="auto"/>
          <w:highlight w:val="none"/>
        </w:rPr>
        <w:t xml:space="preserve">  </w:t>
      </w:r>
      <w:r>
        <w:rPr>
          <w:rFonts w:hint="eastAsia" w:hAnsi="宋体"/>
          <w:color w:val="auto"/>
          <w:highlight w:val="none"/>
          <w:u w:val="single"/>
        </w:rPr>
        <w:t xml:space="preserve">                           </w:t>
      </w:r>
    </w:p>
    <w:p>
      <w:pPr>
        <w:pStyle w:val="25"/>
        <w:spacing w:line="360" w:lineRule="auto"/>
        <w:rPr>
          <w:rFonts w:hAnsi="宋体"/>
          <w:color w:val="auto"/>
          <w:highlight w:val="none"/>
          <w:u w:val="single"/>
        </w:rPr>
      </w:pPr>
      <w:r>
        <w:rPr>
          <w:rFonts w:hint="eastAsia" w:hAnsi="宋体"/>
          <w:color w:val="auto"/>
          <w:highlight w:val="none"/>
        </w:rPr>
        <w:t xml:space="preserve">                                       银行账号：</w:t>
      </w:r>
      <w:r>
        <w:rPr>
          <w:rFonts w:hint="eastAsia" w:hAnsi="宋体"/>
          <w:color w:val="auto"/>
          <w:highlight w:val="none"/>
          <w:u w:val="single"/>
        </w:rPr>
        <w:t xml:space="preserve">                             </w:t>
      </w:r>
    </w:p>
    <w:p>
      <w:pPr>
        <w:pStyle w:val="25"/>
        <w:spacing w:line="360" w:lineRule="auto"/>
        <w:rPr>
          <w:rFonts w:hAnsi="宋体"/>
          <w:color w:val="auto"/>
          <w:highlight w:val="none"/>
        </w:rPr>
      </w:pPr>
    </w:p>
    <w:p>
      <w:pPr>
        <w:pStyle w:val="25"/>
        <w:spacing w:line="360" w:lineRule="auto"/>
        <w:rPr>
          <w:rFonts w:hAnsi="宋体"/>
          <w:color w:val="auto"/>
          <w:highlight w:val="none"/>
        </w:rPr>
      </w:pPr>
      <w:r>
        <w:rPr>
          <w:rFonts w:hint="eastAsia" w:hAnsi="宋体"/>
          <w:color w:val="auto"/>
          <w:highlight w:val="none"/>
        </w:rPr>
        <w:t>合同签订地点：广西南宁</w:t>
      </w:r>
    </w:p>
    <w:p>
      <w:pPr>
        <w:pStyle w:val="25"/>
        <w:spacing w:line="360" w:lineRule="auto"/>
        <w:rPr>
          <w:rFonts w:hAnsi="宋体"/>
          <w:color w:val="auto"/>
          <w:sz w:val="24"/>
          <w:szCs w:val="24"/>
          <w:highlight w:val="none"/>
        </w:rPr>
      </w:pPr>
      <w:r>
        <w:rPr>
          <w:rFonts w:hint="eastAsia" w:hAnsi="宋体"/>
          <w:color w:val="auto"/>
          <w:highlight w:val="none"/>
        </w:rPr>
        <w:t>合同签订日期：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pPr>
        <w:jc w:val="center"/>
        <w:rPr>
          <w:color w:val="auto"/>
          <w:highlight w:val="none"/>
        </w:rPr>
      </w:pPr>
    </w:p>
    <w:sectPr>
      <w:headerReference r:id="rId7" w:type="first"/>
      <w:footerReference r:id="rId9" w:type="first"/>
      <w:footerReference r:id="rId8" w:type="default"/>
      <w:pgSz w:w="11906" w:h="16838"/>
      <w:pgMar w:top="1418" w:right="1418" w:bottom="1418" w:left="1701"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rebuchet MS">
    <w:panose1 w:val="020B0603020202020204"/>
    <w:charset w:val="00"/>
    <w:family w:val="swiss"/>
    <w:pitch w:val="default"/>
    <w:sig w:usb0="00000287" w:usb1="00000000" w:usb2="00000000" w:usb3="00000000" w:csb0="200000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ingLiU_HKSCS">
    <w:panose1 w:val="02020500000000000000"/>
    <w:charset w:val="88"/>
    <w:family w:val="roman"/>
    <w:pitch w:val="default"/>
    <w:sig w:usb0="A00002FF" w:usb1="3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3"/>
      </w:rPr>
    </w:pPr>
    <w:r>
      <w:rPr>
        <w:rStyle w:val="53"/>
      </w:rPr>
      <w:fldChar w:fldCharType="begin"/>
    </w:r>
    <w:r>
      <w:rPr>
        <w:rStyle w:val="53"/>
      </w:rPr>
      <w:instrText xml:space="preserve">PAGE  </w:instrText>
    </w:r>
    <w:r>
      <w:rPr>
        <w:rStyle w:val="53"/>
      </w:rP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fldChar w:fldCharType="begin"/>
                          </w:r>
                          <w:r>
                            <w:instrText xml:space="preserve"> PAGE  \* MERGEFORMAT </w:instrText>
                          </w:r>
                          <w:r>
                            <w:fldChar w:fldCharType="separate"/>
                          </w:r>
                          <w:r>
                            <w:t>25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1bQ/rEBAABOAwAADgAAAGRycy9lMm9Eb2MueG1srVPBahsxEL0H+g9C&#10;91prU4JZvA4tISUQ2kKSD5C1klcgaYQke9c/0P5BTrnknu/yd2Qke52kuZVetKOZ0Zv3ZmYXF4M1&#10;ZCtD1OAaOp1UlEgnoNVu3dD7u6vPc0pi4q7lBpxs6E5GerH8dLbofS1n0IFpZSAI4mLd+4Z2Kfma&#10;sSg6aXmcgJcOgwqC5QmvYc3awHtEt4bNquqc9RBaH0DIGNF7eQjSZcFXSor0U6koEzENRW6pnKGc&#10;q3yy5YLX68B9p8WRBv8HFpZrh0VPUJc8cbIJ+gOU1SJABJUmAiwDpbSQRQOqmVZ/qbntuJdFCzYn&#10;+lOb4v+DFT+2vwLRbUO/UOK4xRHtH/7sH5/3T7/JtJqd5w71PtaYeOsxNQ3fYMBJj/6Izix8UMHm&#10;L0oiGMde7079lUMiIj+az+bzCkMCY+MF8dnrcx9i+i7Bkmw0NOAAS1/59iamQ+qYkqs5uNLGlCEa&#10;986BmNnDMvcDx2ylYTUcBa2g3aGeHmffUIfLSYm5dtjavCajEUZjNRobH/S6Q2rTwiv6r5uEJAq3&#10;XOEAeyyMQyvqjguWt+LtvWS9/gbL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TVtD+sQEA&#10;AE4DAAAOAAAAAAAAAAEAIAAAAB4BAABkcnMvZTJvRG9jLnhtbFBLBQYAAAAABgAGAFkBAABBBQAA&#10;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UYErIBAABOAwAADgAAAGRycy9lMm9Eb2MueG1srVNLbtswEN0XyB0I&#10;7mPKLpAYguUgRZCiQJAWSHMAmiItAvyBQ1vyBZIbZNVN9z2Xz9EhbTlNuyuyoYYzwzfvzYwWV4M1&#10;ZCsjaO8aOp1UlEgnfKvduqGP32/P55RA4q7lxjvZ0J0EerU8+7DoQy1nvvOmlZEgiIO6Dw3tUgo1&#10;YyA6aTlMfJAOg8pHyxNe45q1kfeIbg2bVdUF631sQ/RCAqD35hCky4KvlBTpq1IgEzENRW6pnLGc&#10;q3yy5YLX68hDp8WRBv8PFpZrh0VPUDc8cbKJ+h8oq0X04FWaCG+ZV0oLWTSgmmn1l5qHjgdZtGBz&#10;IJzaBO8HK+633yLRbUM/UuK4xRHtX573P37tfz6RaTW7zB3qA9SY+BAwNQ2f/ICTHv2Azix8UNHm&#10;L0oiGMde7079lUMiIj+az+bzCkMCY+MF8dnr8xAhfZbekmw0NOIAS1/59g7SIXVMydWcv9XGlCEa&#10;98aBmNnDMvcDx2ylYTUcBa18u0M9Pc6+oQ6XkxLzxWFr85qMRhyN1WhsQtTrDqlNCy8I15uEJAq3&#10;XOEAeyyMQyvqjguWt+LPe8l6/Q2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oeUYErIB&#10;AABOAwAADgAAAAAAAAABACAAAAAeAQAAZHJzL2Uyb0RvYy54bWxQSwUGAAAAAAYABgBZAQAAQgUA&#10;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0" w:lineRule="exact"/>
      <w:ind w:right="804" w:rightChars="383" w:firstLine="420" w:firstLineChars="200"/>
      <w:rPr>
        <w:rFonts w:hint="eastAsia" w:ascii="宋体" w:hAnsi="宋体" w:eastAsia="宋体"/>
        <w:szCs w:val="21"/>
        <w:lang w:eastAsia="zh-CN"/>
      </w:rPr>
    </w:pPr>
    <w:r>
      <w:rPr>
        <w:rFonts w:hint="eastAsia" w:ascii="宋体" w:hAnsi="宋体"/>
        <w:color w:val="auto"/>
        <w:szCs w:val="21"/>
        <w:highlight w:val="none"/>
      </w:rPr>
      <w:t>球馆物品搬迁、拆装服务采购</w:t>
    </w:r>
    <w:r>
      <w:rPr>
        <w:rFonts w:hint="eastAsia" w:ascii="宋体" w:hAnsi="宋体" w:cs="宋体"/>
        <w:color w:val="111F2C"/>
        <w:szCs w:val="21"/>
        <w:shd w:val="clear" w:color="auto" w:fill="FFFFFF"/>
      </w:rPr>
      <w:t>GIEG2020HZ-004</w:t>
    </w:r>
    <w:r>
      <w:rPr>
        <w:rFonts w:hint="eastAsia" w:ascii="宋体" w:hAnsi="宋体" w:cs="宋体"/>
        <w:color w:val="111F2C"/>
        <w:szCs w:val="21"/>
        <w:shd w:val="clear" w:color="auto" w:fill="FFFFFF"/>
        <w:lang w:val="en-US" w:eastAsia="zh-CN"/>
      </w:rPr>
      <w:t>7</w:t>
    </w:r>
  </w:p>
  <w:p>
    <w:pPr>
      <w:pStyle w:val="32"/>
      <w:jc w:val="right"/>
      <w:rPr>
        <w:rFonts w:ascii="宋体" w:hAnsi="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21"/>
      <w:lvlText w:val="%1."/>
      <w:lvlJc w:val="left"/>
      <w:pPr>
        <w:tabs>
          <w:tab w:val="left" w:pos="1200"/>
        </w:tabs>
        <w:ind w:left="1200" w:leftChars="400" w:hanging="360" w:hangingChars="200"/>
      </w:pPr>
    </w:lvl>
  </w:abstractNum>
  <w:abstractNum w:abstractNumId="1">
    <w:nsid w:val="076C7C35"/>
    <w:multiLevelType w:val="multilevel"/>
    <w:tmpl w:val="076C7C35"/>
    <w:lvl w:ilvl="0" w:tentative="0">
      <w:start w:val="1"/>
      <w:numFmt w:val="decimal"/>
      <w:pStyle w:val="121"/>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70541F2"/>
    <w:multiLevelType w:val="multilevel"/>
    <w:tmpl w:val="170541F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38CDD373"/>
    <w:multiLevelType w:val="singleLevel"/>
    <w:tmpl w:val="38CDD373"/>
    <w:lvl w:ilvl="0" w:tentative="0">
      <w:start w:val="2"/>
      <w:numFmt w:val="chineseCounting"/>
      <w:suff w:val="nothing"/>
      <w:lvlText w:val="%1、"/>
      <w:lvlJc w:val="left"/>
      <w:rPr>
        <w:rFonts w:hint="eastAsia"/>
      </w:rPr>
    </w:lvl>
  </w:abstractNum>
  <w:abstractNum w:abstractNumId="5">
    <w:nsid w:val="4F886337"/>
    <w:multiLevelType w:val="multilevel"/>
    <w:tmpl w:val="4F886337"/>
    <w:lvl w:ilvl="0" w:tentative="0">
      <w:start w:val="1"/>
      <w:numFmt w:val="decimal"/>
      <w:pStyle w:val="138"/>
      <w:lvlText w:val="（%1）"/>
      <w:lvlJc w:val="left"/>
      <w:pPr>
        <w:ind w:left="1275" w:hanging="750"/>
      </w:pPr>
      <w:rPr>
        <w:rFonts w:hint="default"/>
        <w:lang w:val="en-US"/>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6">
    <w:nsid w:val="4FF1187F"/>
    <w:multiLevelType w:val="multilevel"/>
    <w:tmpl w:val="4FF1187F"/>
    <w:lvl w:ilvl="0" w:tentative="0">
      <w:start w:val="1"/>
      <w:numFmt w:val="decimal"/>
      <w:pStyle w:val="136"/>
      <w:lvlText w:val="%1．"/>
      <w:lvlJc w:val="left"/>
      <w:pPr>
        <w:ind w:left="1004" w:hanging="72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7">
    <w:nsid w:val="56E83EA1"/>
    <w:multiLevelType w:val="multilevel"/>
    <w:tmpl w:val="56E83EA1"/>
    <w:lvl w:ilvl="0" w:tentative="0">
      <w:start w:val="1"/>
      <w:numFmt w:val="decimal"/>
      <w:pStyle w:val="134"/>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78F67B16"/>
    <w:multiLevelType w:val="singleLevel"/>
    <w:tmpl w:val="78F67B16"/>
    <w:lvl w:ilvl="0" w:tentative="0">
      <w:start w:val="10"/>
      <w:numFmt w:val="chineseCounting"/>
      <w:suff w:val="nothing"/>
      <w:lvlText w:val="%1、"/>
      <w:lvlJc w:val="left"/>
      <w:rPr>
        <w:rFonts w:hint="eastAsia"/>
      </w:rPr>
    </w:lvl>
  </w:abstractNum>
  <w:num w:numId="1">
    <w:abstractNumId w:val="3"/>
  </w:num>
  <w:num w:numId="2">
    <w:abstractNumId w:val="0"/>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ocumentProtection w:enforcement="0"/>
  <w:defaultTabStop w:val="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14"/>
    <w:rsid w:val="00000672"/>
    <w:rsid w:val="00001A25"/>
    <w:rsid w:val="00001AD6"/>
    <w:rsid w:val="000021E2"/>
    <w:rsid w:val="000025AB"/>
    <w:rsid w:val="000029ED"/>
    <w:rsid w:val="00002AF7"/>
    <w:rsid w:val="00003442"/>
    <w:rsid w:val="000039E6"/>
    <w:rsid w:val="00003FC2"/>
    <w:rsid w:val="00005897"/>
    <w:rsid w:val="000065E3"/>
    <w:rsid w:val="000071E8"/>
    <w:rsid w:val="00010566"/>
    <w:rsid w:val="00010914"/>
    <w:rsid w:val="00010D86"/>
    <w:rsid w:val="00010E36"/>
    <w:rsid w:val="0001172C"/>
    <w:rsid w:val="00012854"/>
    <w:rsid w:val="000132E8"/>
    <w:rsid w:val="00014E30"/>
    <w:rsid w:val="00014F5B"/>
    <w:rsid w:val="00015487"/>
    <w:rsid w:val="00020134"/>
    <w:rsid w:val="00020F74"/>
    <w:rsid w:val="0002190F"/>
    <w:rsid w:val="000222F3"/>
    <w:rsid w:val="00022792"/>
    <w:rsid w:val="00023BE8"/>
    <w:rsid w:val="00024027"/>
    <w:rsid w:val="0002585A"/>
    <w:rsid w:val="00025E36"/>
    <w:rsid w:val="000269AB"/>
    <w:rsid w:val="000269ED"/>
    <w:rsid w:val="00026C29"/>
    <w:rsid w:val="000273E9"/>
    <w:rsid w:val="00027A5F"/>
    <w:rsid w:val="00027DE1"/>
    <w:rsid w:val="000307E9"/>
    <w:rsid w:val="00032114"/>
    <w:rsid w:val="00033A5B"/>
    <w:rsid w:val="00037171"/>
    <w:rsid w:val="000371E3"/>
    <w:rsid w:val="000411B4"/>
    <w:rsid w:val="00042CB8"/>
    <w:rsid w:val="0004440C"/>
    <w:rsid w:val="00044F9A"/>
    <w:rsid w:val="0004597C"/>
    <w:rsid w:val="000466AA"/>
    <w:rsid w:val="000467A4"/>
    <w:rsid w:val="00047131"/>
    <w:rsid w:val="000509D9"/>
    <w:rsid w:val="0005234F"/>
    <w:rsid w:val="00053428"/>
    <w:rsid w:val="0005401A"/>
    <w:rsid w:val="000545D5"/>
    <w:rsid w:val="00054880"/>
    <w:rsid w:val="00060B8B"/>
    <w:rsid w:val="00060E46"/>
    <w:rsid w:val="00062A8B"/>
    <w:rsid w:val="00062AA4"/>
    <w:rsid w:val="000643ED"/>
    <w:rsid w:val="00064847"/>
    <w:rsid w:val="00065B14"/>
    <w:rsid w:val="00065ED2"/>
    <w:rsid w:val="000673E2"/>
    <w:rsid w:val="00067CAF"/>
    <w:rsid w:val="0007068E"/>
    <w:rsid w:val="000711E4"/>
    <w:rsid w:val="00072DA9"/>
    <w:rsid w:val="00073325"/>
    <w:rsid w:val="00077F49"/>
    <w:rsid w:val="00080988"/>
    <w:rsid w:val="00082585"/>
    <w:rsid w:val="00083B5D"/>
    <w:rsid w:val="00085EC4"/>
    <w:rsid w:val="00086D6B"/>
    <w:rsid w:val="00091AD7"/>
    <w:rsid w:val="00091DCC"/>
    <w:rsid w:val="00091FCA"/>
    <w:rsid w:val="00092A1C"/>
    <w:rsid w:val="000958A8"/>
    <w:rsid w:val="000973B5"/>
    <w:rsid w:val="00097775"/>
    <w:rsid w:val="000A3D54"/>
    <w:rsid w:val="000A4419"/>
    <w:rsid w:val="000A520D"/>
    <w:rsid w:val="000A6046"/>
    <w:rsid w:val="000A6622"/>
    <w:rsid w:val="000A7A12"/>
    <w:rsid w:val="000B1EDF"/>
    <w:rsid w:val="000B2EF8"/>
    <w:rsid w:val="000B2F30"/>
    <w:rsid w:val="000B3B98"/>
    <w:rsid w:val="000B4428"/>
    <w:rsid w:val="000B4A1E"/>
    <w:rsid w:val="000B6D5D"/>
    <w:rsid w:val="000C3476"/>
    <w:rsid w:val="000C3771"/>
    <w:rsid w:val="000C56E0"/>
    <w:rsid w:val="000C7B1D"/>
    <w:rsid w:val="000D0515"/>
    <w:rsid w:val="000D0A89"/>
    <w:rsid w:val="000D2626"/>
    <w:rsid w:val="000D41D5"/>
    <w:rsid w:val="000D73DD"/>
    <w:rsid w:val="000E03CB"/>
    <w:rsid w:val="000E1989"/>
    <w:rsid w:val="000E46A6"/>
    <w:rsid w:val="000E4E23"/>
    <w:rsid w:val="000E56FD"/>
    <w:rsid w:val="000E6A23"/>
    <w:rsid w:val="000E747D"/>
    <w:rsid w:val="000F0EB3"/>
    <w:rsid w:val="000F0F35"/>
    <w:rsid w:val="000F3733"/>
    <w:rsid w:val="000F3B79"/>
    <w:rsid w:val="000F42CA"/>
    <w:rsid w:val="000F6DD9"/>
    <w:rsid w:val="001005C6"/>
    <w:rsid w:val="001009F5"/>
    <w:rsid w:val="001020ED"/>
    <w:rsid w:val="00102C16"/>
    <w:rsid w:val="00102FE0"/>
    <w:rsid w:val="00103918"/>
    <w:rsid w:val="00103E83"/>
    <w:rsid w:val="00104897"/>
    <w:rsid w:val="00104EDE"/>
    <w:rsid w:val="00105636"/>
    <w:rsid w:val="001066DD"/>
    <w:rsid w:val="001069B9"/>
    <w:rsid w:val="00106BEE"/>
    <w:rsid w:val="00110236"/>
    <w:rsid w:val="00111624"/>
    <w:rsid w:val="001118F4"/>
    <w:rsid w:val="0011510A"/>
    <w:rsid w:val="001155E7"/>
    <w:rsid w:val="0011608D"/>
    <w:rsid w:val="001168F0"/>
    <w:rsid w:val="00117F08"/>
    <w:rsid w:val="0012195F"/>
    <w:rsid w:val="00122064"/>
    <w:rsid w:val="00122941"/>
    <w:rsid w:val="00123F38"/>
    <w:rsid w:val="001255F8"/>
    <w:rsid w:val="00125E07"/>
    <w:rsid w:val="00126277"/>
    <w:rsid w:val="001263B8"/>
    <w:rsid w:val="001302BD"/>
    <w:rsid w:val="00130D92"/>
    <w:rsid w:val="001317C3"/>
    <w:rsid w:val="00133042"/>
    <w:rsid w:val="001337A4"/>
    <w:rsid w:val="00134C8F"/>
    <w:rsid w:val="00141C9C"/>
    <w:rsid w:val="00143ACD"/>
    <w:rsid w:val="0014459D"/>
    <w:rsid w:val="001448D5"/>
    <w:rsid w:val="00147134"/>
    <w:rsid w:val="00147802"/>
    <w:rsid w:val="0015138F"/>
    <w:rsid w:val="00151627"/>
    <w:rsid w:val="00151CD1"/>
    <w:rsid w:val="00151F4F"/>
    <w:rsid w:val="0015202A"/>
    <w:rsid w:val="00152FC1"/>
    <w:rsid w:val="00153750"/>
    <w:rsid w:val="0015413C"/>
    <w:rsid w:val="001542FC"/>
    <w:rsid w:val="001558B7"/>
    <w:rsid w:val="001561F6"/>
    <w:rsid w:val="0015688F"/>
    <w:rsid w:val="001609C5"/>
    <w:rsid w:val="0016420C"/>
    <w:rsid w:val="00164EC0"/>
    <w:rsid w:val="001661A3"/>
    <w:rsid w:val="00167E66"/>
    <w:rsid w:val="00170485"/>
    <w:rsid w:val="00171374"/>
    <w:rsid w:val="001720D2"/>
    <w:rsid w:val="0017223D"/>
    <w:rsid w:val="00173C68"/>
    <w:rsid w:val="00175BA6"/>
    <w:rsid w:val="00176909"/>
    <w:rsid w:val="00176D15"/>
    <w:rsid w:val="001778C5"/>
    <w:rsid w:val="00177B28"/>
    <w:rsid w:val="001801EF"/>
    <w:rsid w:val="00180209"/>
    <w:rsid w:val="001811F8"/>
    <w:rsid w:val="00182370"/>
    <w:rsid w:val="00182921"/>
    <w:rsid w:val="00182E7E"/>
    <w:rsid w:val="001844F7"/>
    <w:rsid w:val="0018466C"/>
    <w:rsid w:val="001849C9"/>
    <w:rsid w:val="00185617"/>
    <w:rsid w:val="001869B8"/>
    <w:rsid w:val="00186E62"/>
    <w:rsid w:val="0019181F"/>
    <w:rsid w:val="0019231C"/>
    <w:rsid w:val="00192E96"/>
    <w:rsid w:val="00192EE0"/>
    <w:rsid w:val="001A02B3"/>
    <w:rsid w:val="001A037B"/>
    <w:rsid w:val="001A0A06"/>
    <w:rsid w:val="001A26CD"/>
    <w:rsid w:val="001A3EDE"/>
    <w:rsid w:val="001A4DBA"/>
    <w:rsid w:val="001A55CA"/>
    <w:rsid w:val="001A563F"/>
    <w:rsid w:val="001A5E24"/>
    <w:rsid w:val="001A687B"/>
    <w:rsid w:val="001A69F8"/>
    <w:rsid w:val="001A6D8B"/>
    <w:rsid w:val="001B00A8"/>
    <w:rsid w:val="001B05DD"/>
    <w:rsid w:val="001B09B9"/>
    <w:rsid w:val="001B1BD1"/>
    <w:rsid w:val="001B1CAC"/>
    <w:rsid w:val="001B2CE3"/>
    <w:rsid w:val="001B37A0"/>
    <w:rsid w:val="001B487F"/>
    <w:rsid w:val="001B52D1"/>
    <w:rsid w:val="001B7052"/>
    <w:rsid w:val="001B7F00"/>
    <w:rsid w:val="001C006E"/>
    <w:rsid w:val="001C086E"/>
    <w:rsid w:val="001C1071"/>
    <w:rsid w:val="001C1E34"/>
    <w:rsid w:val="001C20B2"/>
    <w:rsid w:val="001C6CB0"/>
    <w:rsid w:val="001D0B7F"/>
    <w:rsid w:val="001D1712"/>
    <w:rsid w:val="001D17EE"/>
    <w:rsid w:val="001D18E0"/>
    <w:rsid w:val="001D234F"/>
    <w:rsid w:val="001D255E"/>
    <w:rsid w:val="001D4A05"/>
    <w:rsid w:val="001D5A8A"/>
    <w:rsid w:val="001D5D9C"/>
    <w:rsid w:val="001D6B8C"/>
    <w:rsid w:val="001D71F1"/>
    <w:rsid w:val="001D721C"/>
    <w:rsid w:val="001E129E"/>
    <w:rsid w:val="001E1E6A"/>
    <w:rsid w:val="001E2052"/>
    <w:rsid w:val="001E2B15"/>
    <w:rsid w:val="001E4232"/>
    <w:rsid w:val="001E474A"/>
    <w:rsid w:val="001E798B"/>
    <w:rsid w:val="001F0E52"/>
    <w:rsid w:val="001F325C"/>
    <w:rsid w:val="001F4002"/>
    <w:rsid w:val="001F678E"/>
    <w:rsid w:val="00200851"/>
    <w:rsid w:val="00201588"/>
    <w:rsid w:val="00201E89"/>
    <w:rsid w:val="0020307F"/>
    <w:rsid w:val="002035B4"/>
    <w:rsid w:val="00203825"/>
    <w:rsid w:val="00204133"/>
    <w:rsid w:val="0020437A"/>
    <w:rsid w:val="002048D4"/>
    <w:rsid w:val="0020517D"/>
    <w:rsid w:val="00211433"/>
    <w:rsid w:val="002114C7"/>
    <w:rsid w:val="00211A29"/>
    <w:rsid w:val="0021221E"/>
    <w:rsid w:val="00213066"/>
    <w:rsid w:val="00215314"/>
    <w:rsid w:val="002156AE"/>
    <w:rsid w:val="00216D43"/>
    <w:rsid w:val="00216F6B"/>
    <w:rsid w:val="0021738A"/>
    <w:rsid w:val="00222879"/>
    <w:rsid w:val="002237DB"/>
    <w:rsid w:val="00223C07"/>
    <w:rsid w:val="00227954"/>
    <w:rsid w:val="002300AC"/>
    <w:rsid w:val="00231B89"/>
    <w:rsid w:val="00231DF9"/>
    <w:rsid w:val="00231FA2"/>
    <w:rsid w:val="0023394E"/>
    <w:rsid w:val="00234045"/>
    <w:rsid w:val="00234FE0"/>
    <w:rsid w:val="002355BE"/>
    <w:rsid w:val="0023639C"/>
    <w:rsid w:val="00237020"/>
    <w:rsid w:val="002371B5"/>
    <w:rsid w:val="00237E01"/>
    <w:rsid w:val="00242682"/>
    <w:rsid w:val="002439AB"/>
    <w:rsid w:val="00244B22"/>
    <w:rsid w:val="00245F2B"/>
    <w:rsid w:val="002511B0"/>
    <w:rsid w:val="002518B9"/>
    <w:rsid w:val="0025394B"/>
    <w:rsid w:val="002560B6"/>
    <w:rsid w:val="002566B1"/>
    <w:rsid w:val="00260CFF"/>
    <w:rsid w:val="00261E30"/>
    <w:rsid w:val="0026295D"/>
    <w:rsid w:val="002642EF"/>
    <w:rsid w:val="002657FB"/>
    <w:rsid w:val="00265907"/>
    <w:rsid w:val="00267ECE"/>
    <w:rsid w:val="00280DC8"/>
    <w:rsid w:val="002835B0"/>
    <w:rsid w:val="00283761"/>
    <w:rsid w:val="00283B01"/>
    <w:rsid w:val="00284567"/>
    <w:rsid w:val="0028463A"/>
    <w:rsid w:val="00285063"/>
    <w:rsid w:val="00287763"/>
    <w:rsid w:val="00293B43"/>
    <w:rsid w:val="002952AF"/>
    <w:rsid w:val="002952B6"/>
    <w:rsid w:val="00295D11"/>
    <w:rsid w:val="00296B83"/>
    <w:rsid w:val="00297A2B"/>
    <w:rsid w:val="002A018B"/>
    <w:rsid w:val="002A33C7"/>
    <w:rsid w:val="002A34C4"/>
    <w:rsid w:val="002A5D15"/>
    <w:rsid w:val="002B2DD4"/>
    <w:rsid w:val="002B320E"/>
    <w:rsid w:val="002B356B"/>
    <w:rsid w:val="002B4798"/>
    <w:rsid w:val="002B5E20"/>
    <w:rsid w:val="002B7988"/>
    <w:rsid w:val="002C0C1C"/>
    <w:rsid w:val="002C18C8"/>
    <w:rsid w:val="002C5420"/>
    <w:rsid w:val="002C6772"/>
    <w:rsid w:val="002C6AD4"/>
    <w:rsid w:val="002D08B3"/>
    <w:rsid w:val="002D4B03"/>
    <w:rsid w:val="002D5449"/>
    <w:rsid w:val="002D5726"/>
    <w:rsid w:val="002D63CD"/>
    <w:rsid w:val="002D6A5B"/>
    <w:rsid w:val="002D7648"/>
    <w:rsid w:val="002D79BC"/>
    <w:rsid w:val="002E05CF"/>
    <w:rsid w:val="002E0980"/>
    <w:rsid w:val="002E109C"/>
    <w:rsid w:val="002E1A1E"/>
    <w:rsid w:val="002E3AB9"/>
    <w:rsid w:val="002F199D"/>
    <w:rsid w:val="002F3202"/>
    <w:rsid w:val="002F34CE"/>
    <w:rsid w:val="002F460A"/>
    <w:rsid w:val="002F5188"/>
    <w:rsid w:val="002F63E5"/>
    <w:rsid w:val="002F6B36"/>
    <w:rsid w:val="002F768C"/>
    <w:rsid w:val="002F7912"/>
    <w:rsid w:val="002F7D1E"/>
    <w:rsid w:val="003019A4"/>
    <w:rsid w:val="00301A1A"/>
    <w:rsid w:val="00302E54"/>
    <w:rsid w:val="00303F2B"/>
    <w:rsid w:val="0030400D"/>
    <w:rsid w:val="003067AA"/>
    <w:rsid w:val="00306FCC"/>
    <w:rsid w:val="003108A6"/>
    <w:rsid w:val="0031380E"/>
    <w:rsid w:val="00313DB8"/>
    <w:rsid w:val="003141F7"/>
    <w:rsid w:val="00314469"/>
    <w:rsid w:val="00317BA7"/>
    <w:rsid w:val="00317E5D"/>
    <w:rsid w:val="00322520"/>
    <w:rsid w:val="00324D63"/>
    <w:rsid w:val="00327D41"/>
    <w:rsid w:val="003324C5"/>
    <w:rsid w:val="003329B3"/>
    <w:rsid w:val="00333089"/>
    <w:rsid w:val="00334AE1"/>
    <w:rsid w:val="003357F1"/>
    <w:rsid w:val="00335DC5"/>
    <w:rsid w:val="0033691E"/>
    <w:rsid w:val="0033735F"/>
    <w:rsid w:val="003374B7"/>
    <w:rsid w:val="003412DB"/>
    <w:rsid w:val="003416BA"/>
    <w:rsid w:val="00342D82"/>
    <w:rsid w:val="00342F99"/>
    <w:rsid w:val="00343568"/>
    <w:rsid w:val="0034501B"/>
    <w:rsid w:val="00346224"/>
    <w:rsid w:val="00346910"/>
    <w:rsid w:val="003469A0"/>
    <w:rsid w:val="00346C05"/>
    <w:rsid w:val="00347A53"/>
    <w:rsid w:val="00347D20"/>
    <w:rsid w:val="00350527"/>
    <w:rsid w:val="003505DC"/>
    <w:rsid w:val="003512EE"/>
    <w:rsid w:val="00351898"/>
    <w:rsid w:val="003518A6"/>
    <w:rsid w:val="00355125"/>
    <w:rsid w:val="00356988"/>
    <w:rsid w:val="00362E0B"/>
    <w:rsid w:val="00363E66"/>
    <w:rsid w:val="00363FEF"/>
    <w:rsid w:val="00364034"/>
    <w:rsid w:val="00366683"/>
    <w:rsid w:val="00370DC7"/>
    <w:rsid w:val="00371539"/>
    <w:rsid w:val="0037626E"/>
    <w:rsid w:val="00380BA9"/>
    <w:rsid w:val="00381224"/>
    <w:rsid w:val="00381606"/>
    <w:rsid w:val="00382B81"/>
    <w:rsid w:val="003841FF"/>
    <w:rsid w:val="0038722C"/>
    <w:rsid w:val="003875A4"/>
    <w:rsid w:val="00387610"/>
    <w:rsid w:val="00387620"/>
    <w:rsid w:val="00390286"/>
    <w:rsid w:val="003936AA"/>
    <w:rsid w:val="00393EC8"/>
    <w:rsid w:val="00394910"/>
    <w:rsid w:val="00396A2D"/>
    <w:rsid w:val="00396CA3"/>
    <w:rsid w:val="00396FC3"/>
    <w:rsid w:val="0039722A"/>
    <w:rsid w:val="00397BC9"/>
    <w:rsid w:val="003A2C81"/>
    <w:rsid w:val="003A374D"/>
    <w:rsid w:val="003A5758"/>
    <w:rsid w:val="003A64BB"/>
    <w:rsid w:val="003A6B80"/>
    <w:rsid w:val="003B0B6A"/>
    <w:rsid w:val="003B0D5E"/>
    <w:rsid w:val="003B1D17"/>
    <w:rsid w:val="003B1E5B"/>
    <w:rsid w:val="003B2199"/>
    <w:rsid w:val="003B29CF"/>
    <w:rsid w:val="003B31AB"/>
    <w:rsid w:val="003B497F"/>
    <w:rsid w:val="003B4A36"/>
    <w:rsid w:val="003B54A5"/>
    <w:rsid w:val="003C071B"/>
    <w:rsid w:val="003C08E4"/>
    <w:rsid w:val="003C1BD9"/>
    <w:rsid w:val="003C2366"/>
    <w:rsid w:val="003C3BA0"/>
    <w:rsid w:val="003C4580"/>
    <w:rsid w:val="003C497F"/>
    <w:rsid w:val="003C6746"/>
    <w:rsid w:val="003C7252"/>
    <w:rsid w:val="003C7AA3"/>
    <w:rsid w:val="003C7F0D"/>
    <w:rsid w:val="003D0E07"/>
    <w:rsid w:val="003D26D0"/>
    <w:rsid w:val="003D385B"/>
    <w:rsid w:val="003D50B5"/>
    <w:rsid w:val="003D65D8"/>
    <w:rsid w:val="003D6E57"/>
    <w:rsid w:val="003D7CE8"/>
    <w:rsid w:val="003E1B3A"/>
    <w:rsid w:val="003E285E"/>
    <w:rsid w:val="003E3300"/>
    <w:rsid w:val="003E5ABF"/>
    <w:rsid w:val="003E71A7"/>
    <w:rsid w:val="003E72B9"/>
    <w:rsid w:val="003E7311"/>
    <w:rsid w:val="003F0B1A"/>
    <w:rsid w:val="003F1DB9"/>
    <w:rsid w:val="003F41F0"/>
    <w:rsid w:val="003F47BA"/>
    <w:rsid w:val="003F5897"/>
    <w:rsid w:val="003F6617"/>
    <w:rsid w:val="003F726A"/>
    <w:rsid w:val="0040118D"/>
    <w:rsid w:val="00401529"/>
    <w:rsid w:val="0040569C"/>
    <w:rsid w:val="004067A1"/>
    <w:rsid w:val="00413D4C"/>
    <w:rsid w:val="00414A54"/>
    <w:rsid w:val="00414CE6"/>
    <w:rsid w:val="00414DA2"/>
    <w:rsid w:val="00415977"/>
    <w:rsid w:val="00415F25"/>
    <w:rsid w:val="00417BAA"/>
    <w:rsid w:val="004212F2"/>
    <w:rsid w:val="00422204"/>
    <w:rsid w:val="00422238"/>
    <w:rsid w:val="00422A10"/>
    <w:rsid w:val="00422CF5"/>
    <w:rsid w:val="00424A99"/>
    <w:rsid w:val="00425C8B"/>
    <w:rsid w:val="00425CCB"/>
    <w:rsid w:val="00427713"/>
    <w:rsid w:val="00430063"/>
    <w:rsid w:val="00430218"/>
    <w:rsid w:val="00432589"/>
    <w:rsid w:val="00432892"/>
    <w:rsid w:val="00432896"/>
    <w:rsid w:val="00432E8B"/>
    <w:rsid w:val="00433556"/>
    <w:rsid w:val="00433B60"/>
    <w:rsid w:val="00436AD4"/>
    <w:rsid w:val="004379E7"/>
    <w:rsid w:val="00441103"/>
    <w:rsid w:val="00441DF9"/>
    <w:rsid w:val="004420DF"/>
    <w:rsid w:val="004433CB"/>
    <w:rsid w:val="0044372F"/>
    <w:rsid w:val="00445A2F"/>
    <w:rsid w:val="00445D65"/>
    <w:rsid w:val="0044684E"/>
    <w:rsid w:val="00450311"/>
    <w:rsid w:val="00450555"/>
    <w:rsid w:val="00452AE1"/>
    <w:rsid w:val="00454347"/>
    <w:rsid w:val="004572F3"/>
    <w:rsid w:val="00460531"/>
    <w:rsid w:val="00460A50"/>
    <w:rsid w:val="00460E8F"/>
    <w:rsid w:val="00461EBA"/>
    <w:rsid w:val="00462D42"/>
    <w:rsid w:val="004633B9"/>
    <w:rsid w:val="00463AB2"/>
    <w:rsid w:val="00464261"/>
    <w:rsid w:val="00464D90"/>
    <w:rsid w:val="0046570E"/>
    <w:rsid w:val="0047119F"/>
    <w:rsid w:val="0047191D"/>
    <w:rsid w:val="00472489"/>
    <w:rsid w:val="00473128"/>
    <w:rsid w:val="00475A17"/>
    <w:rsid w:val="00475BF4"/>
    <w:rsid w:val="004761F2"/>
    <w:rsid w:val="004763CD"/>
    <w:rsid w:val="004770EE"/>
    <w:rsid w:val="004779D3"/>
    <w:rsid w:val="00477DBF"/>
    <w:rsid w:val="00480372"/>
    <w:rsid w:val="004816C9"/>
    <w:rsid w:val="00481FC3"/>
    <w:rsid w:val="0048204C"/>
    <w:rsid w:val="004826FE"/>
    <w:rsid w:val="00484B69"/>
    <w:rsid w:val="0048590F"/>
    <w:rsid w:val="00485961"/>
    <w:rsid w:val="004867A2"/>
    <w:rsid w:val="00486951"/>
    <w:rsid w:val="00486971"/>
    <w:rsid w:val="00486FD8"/>
    <w:rsid w:val="004879A0"/>
    <w:rsid w:val="00490A07"/>
    <w:rsid w:val="004921F9"/>
    <w:rsid w:val="00492A25"/>
    <w:rsid w:val="004930FB"/>
    <w:rsid w:val="0049585A"/>
    <w:rsid w:val="00495C30"/>
    <w:rsid w:val="004A0457"/>
    <w:rsid w:val="004A1405"/>
    <w:rsid w:val="004A2541"/>
    <w:rsid w:val="004A279F"/>
    <w:rsid w:val="004A2BFE"/>
    <w:rsid w:val="004A381E"/>
    <w:rsid w:val="004A5A21"/>
    <w:rsid w:val="004A5F1A"/>
    <w:rsid w:val="004A786A"/>
    <w:rsid w:val="004A7917"/>
    <w:rsid w:val="004A7EF2"/>
    <w:rsid w:val="004B011D"/>
    <w:rsid w:val="004B1FF5"/>
    <w:rsid w:val="004B29AC"/>
    <w:rsid w:val="004B3723"/>
    <w:rsid w:val="004B72F8"/>
    <w:rsid w:val="004C1137"/>
    <w:rsid w:val="004C4EF9"/>
    <w:rsid w:val="004C51FD"/>
    <w:rsid w:val="004C5987"/>
    <w:rsid w:val="004C6625"/>
    <w:rsid w:val="004C7393"/>
    <w:rsid w:val="004C7913"/>
    <w:rsid w:val="004D04ED"/>
    <w:rsid w:val="004D140D"/>
    <w:rsid w:val="004D1C9A"/>
    <w:rsid w:val="004D2499"/>
    <w:rsid w:val="004D29ED"/>
    <w:rsid w:val="004D35BA"/>
    <w:rsid w:val="004D377F"/>
    <w:rsid w:val="004D41DD"/>
    <w:rsid w:val="004D5599"/>
    <w:rsid w:val="004D5A11"/>
    <w:rsid w:val="004D618D"/>
    <w:rsid w:val="004D6250"/>
    <w:rsid w:val="004D655D"/>
    <w:rsid w:val="004E25A8"/>
    <w:rsid w:val="004E41FB"/>
    <w:rsid w:val="004E5F5C"/>
    <w:rsid w:val="004E6097"/>
    <w:rsid w:val="004E687A"/>
    <w:rsid w:val="004E6D9E"/>
    <w:rsid w:val="004E7B03"/>
    <w:rsid w:val="004F0446"/>
    <w:rsid w:val="004F06AC"/>
    <w:rsid w:val="004F2193"/>
    <w:rsid w:val="004F23AE"/>
    <w:rsid w:val="004F3879"/>
    <w:rsid w:val="004F47E9"/>
    <w:rsid w:val="004F52FA"/>
    <w:rsid w:val="004F53B2"/>
    <w:rsid w:val="004F6CA1"/>
    <w:rsid w:val="004F70FC"/>
    <w:rsid w:val="00500258"/>
    <w:rsid w:val="0050487A"/>
    <w:rsid w:val="0050766C"/>
    <w:rsid w:val="005128BE"/>
    <w:rsid w:val="00512D11"/>
    <w:rsid w:val="00513DC9"/>
    <w:rsid w:val="00513E7C"/>
    <w:rsid w:val="00514B04"/>
    <w:rsid w:val="0051608F"/>
    <w:rsid w:val="00524832"/>
    <w:rsid w:val="00524C5A"/>
    <w:rsid w:val="00526049"/>
    <w:rsid w:val="00526BC3"/>
    <w:rsid w:val="00526D89"/>
    <w:rsid w:val="005277FF"/>
    <w:rsid w:val="00527AE1"/>
    <w:rsid w:val="00530950"/>
    <w:rsid w:val="0053195D"/>
    <w:rsid w:val="00531E01"/>
    <w:rsid w:val="0053259B"/>
    <w:rsid w:val="00534BE3"/>
    <w:rsid w:val="00534D3F"/>
    <w:rsid w:val="00534FB8"/>
    <w:rsid w:val="00535291"/>
    <w:rsid w:val="0053798F"/>
    <w:rsid w:val="005403E1"/>
    <w:rsid w:val="00540631"/>
    <w:rsid w:val="00543A37"/>
    <w:rsid w:val="00543AF4"/>
    <w:rsid w:val="00543C6E"/>
    <w:rsid w:val="00544191"/>
    <w:rsid w:val="00544678"/>
    <w:rsid w:val="00544F39"/>
    <w:rsid w:val="005465D0"/>
    <w:rsid w:val="00547EFB"/>
    <w:rsid w:val="00550829"/>
    <w:rsid w:val="005531DF"/>
    <w:rsid w:val="00554151"/>
    <w:rsid w:val="00554F78"/>
    <w:rsid w:val="005556FD"/>
    <w:rsid w:val="00555834"/>
    <w:rsid w:val="005558BC"/>
    <w:rsid w:val="005566BC"/>
    <w:rsid w:val="0055679E"/>
    <w:rsid w:val="0055781F"/>
    <w:rsid w:val="0056186B"/>
    <w:rsid w:val="00561B7B"/>
    <w:rsid w:val="00563085"/>
    <w:rsid w:val="00565E69"/>
    <w:rsid w:val="005678DE"/>
    <w:rsid w:val="005702E4"/>
    <w:rsid w:val="00570986"/>
    <w:rsid w:val="0057145B"/>
    <w:rsid w:val="00571684"/>
    <w:rsid w:val="00572C50"/>
    <w:rsid w:val="00573733"/>
    <w:rsid w:val="00573EEF"/>
    <w:rsid w:val="00575A24"/>
    <w:rsid w:val="005779E4"/>
    <w:rsid w:val="005809E1"/>
    <w:rsid w:val="00581AD7"/>
    <w:rsid w:val="00582452"/>
    <w:rsid w:val="005836C7"/>
    <w:rsid w:val="00583B3B"/>
    <w:rsid w:val="00584E2C"/>
    <w:rsid w:val="00586C5C"/>
    <w:rsid w:val="00587C79"/>
    <w:rsid w:val="00590B77"/>
    <w:rsid w:val="005913A3"/>
    <w:rsid w:val="00591BEF"/>
    <w:rsid w:val="00592767"/>
    <w:rsid w:val="00593753"/>
    <w:rsid w:val="00593D5E"/>
    <w:rsid w:val="00595131"/>
    <w:rsid w:val="00595E24"/>
    <w:rsid w:val="005963DB"/>
    <w:rsid w:val="00596B03"/>
    <w:rsid w:val="00597E5B"/>
    <w:rsid w:val="00597ECA"/>
    <w:rsid w:val="005A1DEC"/>
    <w:rsid w:val="005A24F0"/>
    <w:rsid w:val="005A32F7"/>
    <w:rsid w:val="005A55BA"/>
    <w:rsid w:val="005A71E9"/>
    <w:rsid w:val="005A7328"/>
    <w:rsid w:val="005A7F37"/>
    <w:rsid w:val="005B07EC"/>
    <w:rsid w:val="005B0CF0"/>
    <w:rsid w:val="005B1C37"/>
    <w:rsid w:val="005B2A32"/>
    <w:rsid w:val="005B3341"/>
    <w:rsid w:val="005B34AA"/>
    <w:rsid w:val="005B35B0"/>
    <w:rsid w:val="005B5BEE"/>
    <w:rsid w:val="005B7552"/>
    <w:rsid w:val="005B77D2"/>
    <w:rsid w:val="005C0860"/>
    <w:rsid w:val="005C30F5"/>
    <w:rsid w:val="005C3779"/>
    <w:rsid w:val="005C6000"/>
    <w:rsid w:val="005C6B8B"/>
    <w:rsid w:val="005D02E3"/>
    <w:rsid w:val="005D05F5"/>
    <w:rsid w:val="005D107A"/>
    <w:rsid w:val="005D1A3D"/>
    <w:rsid w:val="005D1A53"/>
    <w:rsid w:val="005D1C87"/>
    <w:rsid w:val="005D1D98"/>
    <w:rsid w:val="005D39FD"/>
    <w:rsid w:val="005D3B54"/>
    <w:rsid w:val="005D57DA"/>
    <w:rsid w:val="005D6FA2"/>
    <w:rsid w:val="005D710D"/>
    <w:rsid w:val="005E2DAA"/>
    <w:rsid w:val="005E666A"/>
    <w:rsid w:val="005F002A"/>
    <w:rsid w:val="005F02F0"/>
    <w:rsid w:val="005F1516"/>
    <w:rsid w:val="005F229E"/>
    <w:rsid w:val="005F2D9A"/>
    <w:rsid w:val="005F3072"/>
    <w:rsid w:val="005F3D9D"/>
    <w:rsid w:val="005F4E52"/>
    <w:rsid w:val="005F5360"/>
    <w:rsid w:val="005F5889"/>
    <w:rsid w:val="005F61E5"/>
    <w:rsid w:val="005F6F0A"/>
    <w:rsid w:val="006000BE"/>
    <w:rsid w:val="0060058E"/>
    <w:rsid w:val="00602A3C"/>
    <w:rsid w:val="00602F1C"/>
    <w:rsid w:val="00604508"/>
    <w:rsid w:val="0060549F"/>
    <w:rsid w:val="0060750F"/>
    <w:rsid w:val="00607DE2"/>
    <w:rsid w:val="0061035A"/>
    <w:rsid w:val="0061110D"/>
    <w:rsid w:val="00611873"/>
    <w:rsid w:val="00613791"/>
    <w:rsid w:val="00614079"/>
    <w:rsid w:val="00615E13"/>
    <w:rsid w:val="00617BE1"/>
    <w:rsid w:val="00617EEE"/>
    <w:rsid w:val="00620352"/>
    <w:rsid w:val="0062055B"/>
    <w:rsid w:val="00621C0E"/>
    <w:rsid w:val="00623389"/>
    <w:rsid w:val="006247D0"/>
    <w:rsid w:val="0062615B"/>
    <w:rsid w:val="006268E4"/>
    <w:rsid w:val="006279FE"/>
    <w:rsid w:val="006330CA"/>
    <w:rsid w:val="0063413D"/>
    <w:rsid w:val="00634738"/>
    <w:rsid w:val="006363FA"/>
    <w:rsid w:val="00641AF8"/>
    <w:rsid w:val="00642A93"/>
    <w:rsid w:val="00642E16"/>
    <w:rsid w:val="00643664"/>
    <w:rsid w:val="00643CAA"/>
    <w:rsid w:val="00645EC9"/>
    <w:rsid w:val="00652C4C"/>
    <w:rsid w:val="00653CDE"/>
    <w:rsid w:val="0065407E"/>
    <w:rsid w:val="00660678"/>
    <w:rsid w:val="00661277"/>
    <w:rsid w:val="00661F62"/>
    <w:rsid w:val="006623D7"/>
    <w:rsid w:val="00663B40"/>
    <w:rsid w:val="00663FEA"/>
    <w:rsid w:val="00664803"/>
    <w:rsid w:val="00664E00"/>
    <w:rsid w:val="00665945"/>
    <w:rsid w:val="00665B3B"/>
    <w:rsid w:val="006663AC"/>
    <w:rsid w:val="00667BDE"/>
    <w:rsid w:val="00667EA7"/>
    <w:rsid w:val="00670F0F"/>
    <w:rsid w:val="00670F71"/>
    <w:rsid w:val="00673E94"/>
    <w:rsid w:val="00674B85"/>
    <w:rsid w:val="006751BA"/>
    <w:rsid w:val="006758A8"/>
    <w:rsid w:val="006772C9"/>
    <w:rsid w:val="00677641"/>
    <w:rsid w:val="006777FB"/>
    <w:rsid w:val="00677BF4"/>
    <w:rsid w:val="00682F28"/>
    <w:rsid w:val="0068336F"/>
    <w:rsid w:val="00683AD6"/>
    <w:rsid w:val="006847B1"/>
    <w:rsid w:val="00684BDF"/>
    <w:rsid w:val="00684DC5"/>
    <w:rsid w:val="006858F0"/>
    <w:rsid w:val="006879E5"/>
    <w:rsid w:val="00690437"/>
    <w:rsid w:val="00690E65"/>
    <w:rsid w:val="00692AAF"/>
    <w:rsid w:val="00693FB7"/>
    <w:rsid w:val="006946A7"/>
    <w:rsid w:val="00695421"/>
    <w:rsid w:val="00697DFA"/>
    <w:rsid w:val="006A0A00"/>
    <w:rsid w:val="006A6012"/>
    <w:rsid w:val="006A7210"/>
    <w:rsid w:val="006A7BE3"/>
    <w:rsid w:val="006B01D1"/>
    <w:rsid w:val="006B05E5"/>
    <w:rsid w:val="006B0AE2"/>
    <w:rsid w:val="006B0F39"/>
    <w:rsid w:val="006B15CC"/>
    <w:rsid w:val="006B18C3"/>
    <w:rsid w:val="006B266D"/>
    <w:rsid w:val="006B2FD5"/>
    <w:rsid w:val="006B4589"/>
    <w:rsid w:val="006B48DE"/>
    <w:rsid w:val="006B4D33"/>
    <w:rsid w:val="006B5EFA"/>
    <w:rsid w:val="006B6269"/>
    <w:rsid w:val="006B6FEE"/>
    <w:rsid w:val="006B7ABB"/>
    <w:rsid w:val="006C4F0E"/>
    <w:rsid w:val="006C5379"/>
    <w:rsid w:val="006C5F01"/>
    <w:rsid w:val="006C6E21"/>
    <w:rsid w:val="006C7798"/>
    <w:rsid w:val="006C7B02"/>
    <w:rsid w:val="006D009D"/>
    <w:rsid w:val="006D0C1D"/>
    <w:rsid w:val="006D3D09"/>
    <w:rsid w:val="006D415B"/>
    <w:rsid w:val="006D5532"/>
    <w:rsid w:val="006D7C85"/>
    <w:rsid w:val="006E0976"/>
    <w:rsid w:val="006E231B"/>
    <w:rsid w:val="006E24E1"/>
    <w:rsid w:val="006E3DFD"/>
    <w:rsid w:val="006E5DD8"/>
    <w:rsid w:val="006E67AA"/>
    <w:rsid w:val="006E7AA8"/>
    <w:rsid w:val="006F00EF"/>
    <w:rsid w:val="006F0291"/>
    <w:rsid w:val="006F0D98"/>
    <w:rsid w:val="006F2F2A"/>
    <w:rsid w:val="006F3231"/>
    <w:rsid w:val="006F3D7D"/>
    <w:rsid w:val="006F3DE3"/>
    <w:rsid w:val="006F4BF8"/>
    <w:rsid w:val="006F547F"/>
    <w:rsid w:val="006F5A12"/>
    <w:rsid w:val="006F6567"/>
    <w:rsid w:val="006F6AD5"/>
    <w:rsid w:val="006F70BC"/>
    <w:rsid w:val="006F7E1F"/>
    <w:rsid w:val="006F7F32"/>
    <w:rsid w:val="00702389"/>
    <w:rsid w:val="00702530"/>
    <w:rsid w:val="0070296A"/>
    <w:rsid w:val="00702A3B"/>
    <w:rsid w:val="00702D72"/>
    <w:rsid w:val="0070490E"/>
    <w:rsid w:val="00704A47"/>
    <w:rsid w:val="00707A90"/>
    <w:rsid w:val="00707E95"/>
    <w:rsid w:val="00711DC8"/>
    <w:rsid w:val="00714576"/>
    <w:rsid w:val="00714F54"/>
    <w:rsid w:val="00715837"/>
    <w:rsid w:val="00721F0C"/>
    <w:rsid w:val="00721F4A"/>
    <w:rsid w:val="00722033"/>
    <w:rsid w:val="007229D4"/>
    <w:rsid w:val="00724044"/>
    <w:rsid w:val="007267FD"/>
    <w:rsid w:val="0072791A"/>
    <w:rsid w:val="007310B9"/>
    <w:rsid w:val="00731B09"/>
    <w:rsid w:val="007332B8"/>
    <w:rsid w:val="00733FDB"/>
    <w:rsid w:val="00734A30"/>
    <w:rsid w:val="007366F9"/>
    <w:rsid w:val="00743818"/>
    <w:rsid w:val="00743BA9"/>
    <w:rsid w:val="00744517"/>
    <w:rsid w:val="007450CE"/>
    <w:rsid w:val="007457E0"/>
    <w:rsid w:val="00746D71"/>
    <w:rsid w:val="007478C5"/>
    <w:rsid w:val="00747DE2"/>
    <w:rsid w:val="00751656"/>
    <w:rsid w:val="007526EC"/>
    <w:rsid w:val="00752B53"/>
    <w:rsid w:val="00753CEE"/>
    <w:rsid w:val="00753F15"/>
    <w:rsid w:val="00753F40"/>
    <w:rsid w:val="00754641"/>
    <w:rsid w:val="00755813"/>
    <w:rsid w:val="00756521"/>
    <w:rsid w:val="00756AB7"/>
    <w:rsid w:val="007572AB"/>
    <w:rsid w:val="0076155A"/>
    <w:rsid w:val="00762354"/>
    <w:rsid w:val="00763189"/>
    <w:rsid w:val="007632F4"/>
    <w:rsid w:val="007666AA"/>
    <w:rsid w:val="00766720"/>
    <w:rsid w:val="00766B4B"/>
    <w:rsid w:val="00767435"/>
    <w:rsid w:val="007674D1"/>
    <w:rsid w:val="00767509"/>
    <w:rsid w:val="00770471"/>
    <w:rsid w:val="007705C5"/>
    <w:rsid w:val="00772586"/>
    <w:rsid w:val="007725BD"/>
    <w:rsid w:val="007726A6"/>
    <w:rsid w:val="00773AA7"/>
    <w:rsid w:val="0077693F"/>
    <w:rsid w:val="007773E9"/>
    <w:rsid w:val="007804E1"/>
    <w:rsid w:val="0078051E"/>
    <w:rsid w:val="00784A24"/>
    <w:rsid w:val="007857E1"/>
    <w:rsid w:val="00794625"/>
    <w:rsid w:val="007966FC"/>
    <w:rsid w:val="00797046"/>
    <w:rsid w:val="007A01DC"/>
    <w:rsid w:val="007A0332"/>
    <w:rsid w:val="007A09B7"/>
    <w:rsid w:val="007A1029"/>
    <w:rsid w:val="007A1CE0"/>
    <w:rsid w:val="007A20D1"/>
    <w:rsid w:val="007A3ED8"/>
    <w:rsid w:val="007A4B79"/>
    <w:rsid w:val="007A5161"/>
    <w:rsid w:val="007A5526"/>
    <w:rsid w:val="007A7863"/>
    <w:rsid w:val="007A799E"/>
    <w:rsid w:val="007A7FFA"/>
    <w:rsid w:val="007B0297"/>
    <w:rsid w:val="007B1609"/>
    <w:rsid w:val="007B191B"/>
    <w:rsid w:val="007B1FBE"/>
    <w:rsid w:val="007B21AE"/>
    <w:rsid w:val="007B3A20"/>
    <w:rsid w:val="007B4C40"/>
    <w:rsid w:val="007B6D64"/>
    <w:rsid w:val="007B716A"/>
    <w:rsid w:val="007B7293"/>
    <w:rsid w:val="007C0525"/>
    <w:rsid w:val="007C07B4"/>
    <w:rsid w:val="007C22F7"/>
    <w:rsid w:val="007C37FC"/>
    <w:rsid w:val="007C5F21"/>
    <w:rsid w:val="007C6882"/>
    <w:rsid w:val="007C7FFA"/>
    <w:rsid w:val="007D0C40"/>
    <w:rsid w:val="007D240C"/>
    <w:rsid w:val="007D3A63"/>
    <w:rsid w:val="007D3B86"/>
    <w:rsid w:val="007D4848"/>
    <w:rsid w:val="007D5FDC"/>
    <w:rsid w:val="007E1824"/>
    <w:rsid w:val="007E4147"/>
    <w:rsid w:val="007E4A9C"/>
    <w:rsid w:val="007E7DF9"/>
    <w:rsid w:val="007F0730"/>
    <w:rsid w:val="007F1638"/>
    <w:rsid w:val="007F7E4C"/>
    <w:rsid w:val="0080015B"/>
    <w:rsid w:val="0080110C"/>
    <w:rsid w:val="008014FC"/>
    <w:rsid w:val="00801FE6"/>
    <w:rsid w:val="00803F25"/>
    <w:rsid w:val="008041E4"/>
    <w:rsid w:val="00804A94"/>
    <w:rsid w:val="008055A9"/>
    <w:rsid w:val="00810E8E"/>
    <w:rsid w:val="008124D0"/>
    <w:rsid w:val="00813F96"/>
    <w:rsid w:val="008148A2"/>
    <w:rsid w:val="00817B9C"/>
    <w:rsid w:val="008214AE"/>
    <w:rsid w:val="00821B22"/>
    <w:rsid w:val="00821CAD"/>
    <w:rsid w:val="00822771"/>
    <w:rsid w:val="00822C60"/>
    <w:rsid w:val="00826AB9"/>
    <w:rsid w:val="00827AE7"/>
    <w:rsid w:val="00827CA8"/>
    <w:rsid w:val="00827E0F"/>
    <w:rsid w:val="00830CF4"/>
    <w:rsid w:val="008325B9"/>
    <w:rsid w:val="0083279F"/>
    <w:rsid w:val="00833B7F"/>
    <w:rsid w:val="0083524E"/>
    <w:rsid w:val="00835292"/>
    <w:rsid w:val="00835BC6"/>
    <w:rsid w:val="008373AB"/>
    <w:rsid w:val="00841B45"/>
    <w:rsid w:val="008430C0"/>
    <w:rsid w:val="00843114"/>
    <w:rsid w:val="00843F81"/>
    <w:rsid w:val="00847F0B"/>
    <w:rsid w:val="008511E8"/>
    <w:rsid w:val="00852F21"/>
    <w:rsid w:val="00853BF4"/>
    <w:rsid w:val="008577FF"/>
    <w:rsid w:val="00857DE2"/>
    <w:rsid w:val="00860A1F"/>
    <w:rsid w:val="008614B2"/>
    <w:rsid w:val="0086465C"/>
    <w:rsid w:val="00864E79"/>
    <w:rsid w:val="008668AB"/>
    <w:rsid w:val="00866A0D"/>
    <w:rsid w:val="00870582"/>
    <w:rsid w:val="0087186D"/>
    <w:rsid w:val="00872A32"/>
    <w:rsid w:val="00872B79"/>
    <w:rsid w:val="008747F1"/>
    <w:rsid w:val="00875002"/>
    <w:rsid w:val="008754DF"/>
    <w:rsid w:val="00875FC8"/>
    <w:rsid w:val="00876B58"/>
    <w:rsid w:val="00882B44"/>
    <w:rsid w:val="00883C8C"/>
    <w:rsid w:val="008841E3"/>
    <w:rsid w:val="00884344"/>
    <w:rsid w:val="008856F8"/>
    <w:rsid w:val="00886063"/>
    <w:rsid w:val="008871B0"/>
    <w:rsid w:val="00890316"/>
    <w:rsid w:val="0089253D"/>
    <w:rsid w:val="00892740"/>
    <w:rsid w:val="0089289F"/>
    <w:rsid w:val="00895D9A"/>
    <w:rsid w:val="00896351"/>
    <w:rsid w:val="008A0CB2"/>
    <w:rsid w:val="008A0FC9"/>
    <w:rsid w:val="008A234C"/>
    <w:rsid w:val="008A40D3"/>
    <w:rsid w:val="008A42EB"/>
    <w:rsid w:val="008A6BCC"/>
    <w:rsid w:val="008B09C4"/>
    <w:rsid w:val="008B173A"/>
    <w:rsid w:val="008B1E76"/>
    <w:rsid w:val="008B2E7C"/>
    <w:rsid w:val="008B784D"/>
    <w:rsid w:val="008B7FA7"/>
    <w:rsid w:val="008C13AA"/>
    <w:rsid w:val="008C1DA4"/>
    <w:rsid w:val="008C28CC"/>
    <w:rsid w:val="008C2CD5"/>
    <w:rsid w:val="008C3618"/>
    <w:rsid w:val="008C4771"/>
    <w:rsid w:val="008C54E1"/>
    <w:rsid w:val="008C731F"/>
    <w:rsid w:val="008D1C7F"/>
    <w:rsid w:val="008D1E23"/>
    <w:rsid w:val="008D309E"/>
    <w:rsid w:val="008D3902"/>
    <w:rsid w:val="008D5B9A"/>
    <w:rsid w:val="008D641D"/>
    <w:rsid w:val="008D7155"/>
    <w:rsid w:val="008D71B6"/>
    <w:rsid w:val="008E0FF9"/>
    <w:rsid w:val="008E3674"/>
    <w:rsid w:val="008E3825"/>
    <w:rsid w:val="008E3DC5"/>
    <w:rsid w:val="008E5D30"/>
    <w:rsid w:val="008E6687"/>
    <w:rsid w:val="008E6792"/>
    <w:rsid w:val="008E6856"/>
    <w:rsid w:val="008E6D1D"/>
    <w:rsid w:val="008E7245"/>
    <w:rsid w:val="008F177A"/>
    <w:rsid w:val="008F2FFA"/>
    <w:rsid w:val="008F5C6A"/>
    <w:rsid w:val="008F6532"/>
    <w:rsid w:val="008F69B8"/>
    <w:rsid w:val="008F7DFB"/>
    <w:rsid w:val="00900555"/>
    <w:rsid w:val="0090059A"/>
    <w:rsid w:val="00901192"/>
    <w:rsid w:val="009027F2"/>
    <w:rsid w:val="00902EE1"/>
    <w:rsid w:val="00905D7E"/>
    <w:rsid w:val="00906215"/>
    <w:rsid w:val="00906630"/>
    <w:rsid w:val="00906F6E"/>
    <w:rsid w:val="00910798"/>
    <w:rsid w:val="009134FC"/>
    <w:rsid w:val="0091405C"/>
    <w:rsid w:val="00914329"/>
    <w:rsid w:val="009156DA"/>
    <w:rsid w:val="00915EC2"/>
    <w:rsid w:val="00917412"/>
    <w:rsid w:val="00917F30"/>
    <w:rsid w:val="00920104"/>
    <w:rsid w:val="00920184"/>
    <w:rsid w:val="00920EA4"/>
    <w:rsid w:val="00921254"/>
    <w:rsid w:val="0092150B"/>
    <w:rsid w:val="009216F9"/>
    <w:rsid w:val="00922303"/>
    <w:rsid w:val="00926500"/>
    <w:rsid w:val="009266EA"/>
    <w:rsid w:val="00926ABC"/>
    <w:rsid w:val="00927B37"/>
    <w:rsid w:val="0093160E"/>
    <w:rsid w:val="00932156"/>
    <w:rsid w:val="009336B2"/>
    <w:rsid w:val="00933981"/>
    <w:rsid w:val="00934DD7"/>
    <w:rsid w:val="00937853"/>
    <w:rsid w:val="00937FC3"/>
    <w:rsid w:val="00941396"/>
    <w:rsid w:val="00941448"/>
    <w:rsid w:val="00941723"/>
    <w:rsid w:val="00942306"/>
    <w:rsid w:val="00942A33"/>
    <w:rsid w:val="00943FFC"/>
    <w:rsid w:val="00945225"/>
    <w:rsid w:val="009454F3"/>
    <w:rsid w:val="009458B0"/>
    <w:rsid w:val="00947424"/>
    <w:rsid w:val="009478A2"/>
    <w:rsid w:val="009503A9"/>
    <w:rsid w:val="00950884"/>
    <w:rsid w:val="009508A2"/>
    <w:rsid w:val="0095197E"/>
    <w:rsid w:val="00951DBF"/>
    <w:rsid w:val="00952507"/>
    <w:rsid w:val="00953078"/>
    <w:rsid w:val="00953276"/>
    <w:rsid w:val="00953508"/>
    <w:rsid w:val="00955FBB"/>
    <w:rsid w:val="00956585"/>
    <w:rsid w:val="00956A66"/>
    <w:rsid w:val="00956BD5"/>
    <w:rsid w:val="009577B5"/>
    <w:rsid w:val="009616E7"/>
    <w:rsid w:val="0096269B"/>
    <w:rsid w:val="00965664"/>
    <w:rsid w:val="00965816"/>
    <w:rsid w:val="00966253"/>
    <w:rsid w:val="00966522"/>
    <w:rsid w:val="00967329"/>
    <w:rsid w:val="009676C1"/>
    <w:rsid w:val="00970FFF"/>
    <w:rsid w:val="00971C95"/>
    <w:rsid w:val="00971CF1"/>
    <w:rsid w:val="0097286F"/>
    <w:rsid w:val="00976805"/>
    <w:rsid w:val="0097723F"/>
    <w:rsid w:val="00980777"/>
    <w:rsid w:val="009819B7"/>
    <w:rsid w:val="00982F8E"/>
    <w:rsid w:val="00983E22"/>
    <w:rsid w:val="0098534E"/>
    <w:rsid w:val="009859DD"/>
    <w:rsid w:val="00985C3D"/>
    <w:rsid w:val="009864E0"/>
    <w:rsid w:val="00990225"/>
    <w:rsid w:val="00992EB6"/>
    <w:rsid w:val="009934DA"/>
    <w:rsid w:val="00995D67"/>
    <w:rsid w:val="009A0482"/>
    <w:rsid w:val="009A303A"/>
    <w:rsid w:val="009A453B"/>
    <w:rsid w:val="009A6316"/>
    <w:rsid w:val="009A6559"/>
    <w:rsid w:val="009A6C49"/>
    <w:rsid w:val="009B1C2B"/>
    <w:rsid w:val="009B20F5"/>
    <w:rsid w:val="009B21F6"/>
    <w:rsid w:val="009B2F9B"/>
    <w:rsid w:val="009B3647"/>
    <w:rsid w:val="009B4A6C"/>
    <w:rsid w:val="009B5801"/>
    <w:rsid w:val="009B731D"/>
    <w:rsid w:val="009C01A4"/>
    <w:rsid w:val="009C1A29"/>
    <w:rsid w:val="009C34D1"/>
    <w:rsid w:val="009C360E"/>
    <w:rsid w:val="009C36FF"/>
    <w:rsid w:val="009C6322"/>
    <w:rsid w:val="009C64A2"/>
    <w:rsid w:val="009C6CE5"/>
    <w:rsid w:val="009C6D50"/>
    <w:rsid w:val="009C7244"/>
    <w:rsid w:val="009C7321"/>
    <w:rsid w:val="009D0935"/>
    <w:rsid w:val="009D1878"/>
    <w:rsid w:val="009D1B1D"/>
    <w:rsid w:val="009D2F60"/>
    <w:rsid w:val="009D526D"/>
    <w:rsid w:val="009D6DD9"/>
    <w:rsid w:val="009D7321"/>
    <w:rsid w:val="009D77B3"/>
    <w:rsid w:val="009E0C5F"/>
    <w:rsid w:val="009E24FE"/>
    <w:rsid w:val="009E4070"/>
    <w:rsid w:val="009E444E"/>
    <w:rsid w:val="009E4857"/>
    <w:rsid w:val="009E6480"/>
    <w:rsid w:val="009E693D"/>
    <w:rsid w:val="009E7554"/>
    <w:rsid w:val="009F1A79"/>
    <w:rsid w:val="009F252C"/>
    <w:rsid w:val="009F3160"/>
    <w:rsid w:val="009F42FB"/>
    <w:rsid w:val="009F49DC"/>
    <w:rsid w:val="009F4C84"/>
    <w:rsid w:val="009F5C8C"/>
    <w:rsid w:val="009F65F4"/>
    <w:rsid w:val="009F676B"/>
    <w:rsid w:val="009F69AF"/>
    <w:rsid w:val="009F7A77"/>
    <w:rsid w:val="00A00C70"/>
    <w:rsid w:val="00A0146E"/>
    <w:rsid w:val="00A01B03"/>
    <w:rsid w:val="00A01B5D"/>
    <w:rsid w:val="00A02169"/>
    <w:rsid w:val="00A02C66"/>
    <w:rsid w:val="00A0464C"/>
    <w:rsid w:val="00A046FE"/>
    <w:rsid w:val="00A04E0A"/>
    <w:rsid w:val="00A05464"/>
    <w:rsid w:val="00A054E0"/>
    <w:rsid w:val="00A06D10"/>
    <w:rsid w:val="00A11042"/>
    <w:rsid w:val="00A116F8"/>
    <w:rsid w:val="00A11C37"/>
    <w:rsid w:val="00A132F6"/>
    <w:rsid w:val="00A133D8"/>
    <w:rsid w:val="00A155EB"/>
    <w:rsid w:val="00A15DE9"/>
    <w:rsid w:val="00A168A2"/>
    <w:rsid w:val="00A17226"/>
    <w:rsid w:val="00A17BA5"/>
    <w:rsid w:val="00A20672"/>
    <w:rsid w:val="00A245BF"/>
    <w:rsid w:val="00A24FEA"/>
    <w:rsid w:val="00A25A00"/>
    <w:rsid w:val="00A265E5"/>
    <w:rsid w:val="00A269F6"/>
    <w:rsid w:val="00A30B84"/>
    <w:rsid w:val="00A3467F"/>
    <w:rsid w:val="00A35262"/>
    <w:rsid w:val="00A3532F"/>
    <w:rsid w:val="00A36F93"/>
    <w:rsid w:val="00A37F8E"/>
    <w:rsid w:val="00A4177F"/>
    <w:rsid w:val="00A43237"/>
    <w:rsid w:val="00A45455"/>
    <w:rsid w:val="00A45CAB"/>
    <w:rsid w:val="00A4706F"/>
    <w:rsid w:val="00A47ECC"/>
    <w:rsid w:val="00A47FD7"/>
    <w:rsid w:val="00A50171"/>
    <w:rsid w:val="00A5102E"/>
    <w:rsid w:val="00A51E08"/>
    <w:rsid w:val="00A52282"/>
    <w:rsid w:val="00A5334E"/>
    <w:rsid w:val="00A552BC"/>
    <w:rsid w:val="00A563A2"/>
    <w:rsid w:val="00A563F6"/>
    <w:rsid w:val="00A575B8"/>
    <w:rsid w:val="00A6032D"/>
    <w:rsid w:val="00A61753"/>
    <w:rsid w:val="00A6206B"/>
    <w:rsid w:val="00A62774"/>
    <w:rsid w:val="00A642E5"/>
    <w:rsid w:val="00A6451C"/>
    <w:rsid w:val="00A647B1"/>
    <w:rsid w:val="00A6499A"/>
    <w:rsid w:val="00A6606B"/>
    <w:rsid w:val="00A676E7"/>
    <w:rsid w:val="00A67B72"/>
    <w:rsid w:val="00A70216"/>
    <w:rsid w:val="00A71B35"/>
    <w:rsid w:val="00A72BC3"/>
    <w:rsid w:val="00A736F5"/>
    <w:rsid w:val="00A739A6"/>
    <w:rsid w:val="00A75FE0"/>
    <w:rsid w:val="00A7665D"/>
    <w:rsid w:val="00A76A2D"/>
    <w:rsid w:val="00A76EE4"/>
    <w:rsid w:val="00A82F56"/>
    <w:rsid w:val="00A82FE9"/>
    <w:rsid w:val="00A83AFC"/>
    <w:rsid w:val="00A86B91"/>
    <w:rsid w:val="00A90F5E"/>
    <w:rsid w:val="00A92155"/>
    <w:rsid w:val="00A9246D"/>
    <w:rsid w:val="00A97821"/>
    <w:rsid w:val="00AA02B2"/>
    <w:rsid w:val="00AA2B5C"/>
    <w:rsid w:val="00AA2F64"/>
    <w:rsid w:val="00AA313A"/>
    <w:rsid w:val="00AA577F"/>
    <w:rsid w:val="00AA6328"/>
    <w:rsid w:val="00AB03FD"/>
    <w:rsid w:val="00AB1042"/>
    <w:rsid w:val="00AB1246"/>
    <w:rsid w:val="00AB1375"/>
    <w:rsid w:val="00AB270B"/>
    <w:rsid w:val="00AB38CB"/>
    <w:rsid w:val="00AB524D"/>
    <w:rsid w:val="00AB577E"/>
    <w:rsid w:val="00AB67EB"/>
    <w:rsid w:val="00AB6EE0"/>
    <w:rsid w:val="00AB726F"/>
    <w:rsid w:val="00AC0213"/>
    <w:rsid w:val="00AC2884"/>
    <w:rsid w:val="00AC4725"/>
    <w:rsid w:val="00AC6052"/>
    <w:rsid w:val="00AC6060"/>
    <w:rsid w:val="00AC79A6"/>
    <w:rsid w:val="00AC7C7D"/>
    <w:rsid w:val="00AD4467"/>
    <w:rsid w:val="00AD5996"/>
    <w:rsid w:val="00AD5E0C"/>
    <w:rsid w:val="00AD5E70"/>
    <w:rsid w:val="00AD6206"/>
    <w:rsid w:val="00AD6372"/>
    <w:rsid w:val="00AD777D"/>
    <w:rsid w:val="00AE06B4"/>
    <w:rsid w:val="00AE0D67"/>
    <w:rsid w:val="00AE123A"/>
    <w:rsid w:val="00AE17E5"/>
    <w:rsid w:val="00AE2583"/>
    <w:rsid w:val="00AE2BBF"/>
    <w:rsid w:val="00AE33A6"/>
    <w:rsid w:val="00AE3B97"/>
    <w:rsid w:val="00AE71DF"/>
    <w:rsid w:val="00AF1962"/>
    <w:rsid w:val="00AF2241"/>
    <w:rsid w:val="00AF3ADA"/>
    <w:rsid w:val="00AF45DB"/>
    <w:rsid w:val="00AF59DA"/>
    <w:rsid w:val="00AF7163"/>
    <w:rsid w:val="00AF78B9"/>
    <w:rsid w:val="00AF7941"/>
    <w:rsid w:val="00B00021"/>
    <w:rsid w:val="00B012FD"/>
    <w:rsid w:val="00B02365"/>
    <w:rsid w:val="00B02C1E"/>
    <w:rsid w:val="00B02F60"/>
    <w:rsid w:val="00B037A4"/>
    <w:rsid w:val="00B0440E"/>
    <w:rsid w:val="00B0561D"/>
    <w:rsid w:val="00B05BE8"/>
    <w:rsid w:val="00B05DAB"/>
    <w:rsid w:val="00B05F86"/>
    <w:rsid w:val="00B07367"/>
    <w:rsid w:val="00B073FE"/>
    <w:rsid w:val="00B10050"/>
    <w:rsid w:val="00B10F5A"/>
    <w:rsid w:val="00B11418"/>
    <w:rsid w:val="00B115E6"/>
    <w:rsid w:val="00B129EA"/>
    <w:rsid w:val="00B1364A"/>
    <w:rsid w:val="00B148C0"/>
    <w:rsid w:val="00B14B75"/>
    <w:rsid w:val="00B15F2B"/>
    <w:rsid w:val="00B17220"/>
    <w:rsid w:val="00B20BA1"/>
    <w:rsid w:val="00B20F18"/>
    <w:rsid w:val="00B21849"/>
    <w:rsid w:val="00B220B7"/>
    <w:rsid w:val="00B23239"/>
    <w:rsid w:val="00B23738"/>
    <w:rsid w:val="00B25EE6"/>
    <w:rsid w:val="00B32301"/>
    <w:rsid w:val="00B32BED"/>
    <w:rsid w:val="00B33375"/>
    <w:rsid w:val="00B34566"/>
    <w:rsid w:val="00B34BFA"/>
    <w:rsid w:val="00B354E9"/>
    <w:rsid w:val="00B42CFF"/>
    <w:rsid w:val="00B43D45"/>
    <w:rsid w:val="00B44779"/>
    <w:rsid w:val="00B44B64"/>
    <w:rsid w:val="00B501FE"/>
    <w:rsid w:val="00B50234"/>
    <w:rsid w:val="00B504F7"/>
    <w:rsid w:val="00B50CA4"/>
    <w:rsid w:val="00B51D56"/>
    <w:rsid w:val="00B52C68"/>
    <w:rsid w:val="00B561DB"/>
    <w:rsid w:val="00B56F25"/>
    <w:rsid w:val="00B571DD"/>
    <w:rsid w:val="00B61BD8"/>
    <w:rsid w:val="00B61E67"/>
    <w:rsid w:val="00B64518"/>
    <w:rsid w:val="00B65D0F"/>
    <w:rsid w:val="00B66FE5"/>
    <w:rsid w:val="00B70AE9"/>
    <w:rsid w:val="00B71051"/>
    <w:rsid w:val="00B718EB"/>
    <w:rsid w:val="00B72454"/>
    <w:rsid w:val="00B73BA1"/>
    <w:rsid w:val="00B7562B"/>
    <w:rsid w:val="00B767C3"/>
    <w:rsid w:val="00B76D1D"/>
    <w:rsid w:val="00B7768F"/>
    <w:rsid w:val="00B80270"/>
    <w:rsid w:val="00B837C5"/>
    <w:rsid w:val="00B858A0"/>
    <w:rsid w:val="00B85A85"/>
    <w:rsid w:val="00B913E4"/>
    <w:rsid w:val="00B934C6"/>
    <w:rsid w:val="00B95143"/>
    <w:rsid w:val="00BA1440"/>
    <w:rsid w:val="00BA21C8"/>
    <w:rsid w:val="00BA4524"/>
    <w:rsid w:val="00BA478B"/>
    <w:rsid w:val="00BA51E2"/>
    <w:rsid w:val="00BB0B03"/>
    <w:rsid w:val="00BB1E2B"/>
    <w:rsid w:val="00BB26D0"/>
    <w:rsid w:val="00BB41E5"/>
    <w:rsid w:val="00BB4B75"/>
    <w:rsid w:val="00BB6EFC"/>
    <w:rsid w:val="00BB7058"/>
    <w:rsid w:val="00BB7742"/>
    <w:rsid w:val="00BC08C9"/>
    <w:rsid w:val="00BC516E"/>
    <w:rsid w:val="00BC6E73"/>
    <w:rsid w:val="00BD086E"/>
    <w:rsid w:val="00BD413F"/>
    <w:rsid w:val="00BD5134"/>
    <w:rsid w:val="00BD6EF9"/>
    <w:rsid w:val="00BD7785"/>
    <w:rsid w:val="00BD7B85"/>
    <w:rsid w:val="00BE1CD8"/>
    <w:rsid w:val="00BE2457"/>
    <w:rsid w:val="00BE2912"/>
    <w:rsid w:val="00BE4B51"/>
    <w:rsid w:val="00BE51CA"/>
    <w:rsid w:val="00BE79A5"/>
    <w:rsid w:val="00BE7E34"/>
    <w:rsid w:val="00BE7E42"/>
    <w:rsid w:val="00BF0806"/>
    <w:rsid w:val="00BF0AC2"/>
    <w:rsid w:val="00BF1945"/>
    <w:rsid w:val="00BF278E"/>
    <w:rsid w:val="00BF33B3"/>
    <w:rsid w:val="00BF3538"/>
    <w:rsid w:val="00BF36F6"/>
    <w:rsid w:val="00BF3EE5"/>
    <w:rsid w:val="00BF4342"/>
    <w:rsid w:val="00BF4F21"/>
    <w:rsid w:val="00BF5DEF"/>
    <w:rsid w:val="00BF5E1F"/>
    <w:rsid w:val="00BF6DB4"/>
    <w:rsid w:val="00BF746D"/>
    <w:rsid w:val="00C003F9"/>
    <w:rsid w:val="00C011B8"/>
    <w:rsid w:val="00C012F6"/>
    <w:rsid w:val="00C017FE"/>
    <w:rsid w:val="00C03581"/>
    <w:rsid w:val="00C04898"/>
    <w:rsid w:val="00C04AAA"/>
    <w:rsid w:val="00C058AF"/>
    <w:rsid w:val="00C062E6"/>
    <w:rsid w:val="00C11343"/>
    <w:rsid w:val="00C11C07"/>
    <w:rsid w:val="00C126BE"/>
    <w:rsid w:val="00C128AE"/>
    <w:rsid w:val="00C13739"/>
    <w:rsid w:val="00C1373D"/>
    <w:rsid w:val="00C141FE"/>
    <w:rsid w:val="00C144D9"/>
    <w:rsid w:val="00C14915"/>
    <w:rsid w:val="00C1656E"/>
    <w:rsid w:val="00C20F27"/>
    <w:rsid w:val="00C22B0D"/>
    <w:rsid w:val="00C22E35"/>
    <w:rsid w:val="00C2518C"/>
    <w:rsid w:val="00C260A4"/>
    <w:rsid w:val="00C269D2"/>
    <w:rsid w:val="00C26CE9"/>
    <w:rsid w:val="00C26F08"/>
    <w:rsid w:val="00C310A4"/>
    <w:rsid w:val="00C31382"/>
    <w:rsid w:val="00C330B8"/>
    <w:rsid w:val="00C35B31"/>
    <w:rsid w:val="00C360B3"/>
    <w:rsid w:val="00C36AD3"/>
    <w:rsid w:val="00C37027"/>
    <w:rsid w:val="00C40D83"/>
    <w:rsid w:val="00C40F25"/>
    <w:rsid w:val="00C43670"/>
    <w:rsid w:val="00C4414B"/>
    <w:rsid w:val="00C46217"/>
    <w:rsid w:val="00C4698D"/>
    <w:rsid w:val="00C46A94"/>
    <w:rsid w:val="00C51178"/>
    <w:rsid w:val="00C52479"/>
    <w:rsid w:val="00C52C59"/>
    <w:rsid w:val="00C5383F"/>
    <w:rsid w:val="00C540B7"/>
    <w:rsid w:val="00C54D3D"/>
    <w:rsid w:val="00C55690"/>
    <w:rsid w:val="00C60381"/>
    <w:rsid w:val="00C61CFF"/>
    <w:rsid w:val="00C642D3"/>
    <w:rsid w:val="00C64338"/>
    <w:rsid w:val="00C6490C"/>
    <w:rsid w:val="00C64FE7"/>
    <w:rsid w:val="00C71433"/>
    <w:rsid w:val="00C73100"/>
    <w:rsid w:val="00C74ADB"/>
    <w:rsid w:val="00C75B5B"/>
    <w:rsid w:val="00C8063F"/>
    <w:rsid w:val="00C828DB"/>
    <w:rsid w:val="00C82A71"/>
    <w:rsid w:val="00C82EA6"/>
    <w:rsid w:val="00C87879"/>
    <w:rsid w:val="00C87CFD"/>
    <w:rsid w:val="00C975C2"/>
    <w:rsid w:val="00CA05D3"/>
    <w:rsid w:val="00CA25C0"/>
    <w:rsid w:val="00CA28B6"/>
    <w:rsid w:val="00CA3524"/>
    <w:rsid w:val="00CA4948"/>
    <w:rsid w:val="00CA4F8D"/>
    <w:rsid w:val="00CA513D"/>
    <w:rsid w:val="00CA6441"/>
    <w:rsid w:val="00CA7853"/>
    <w:rsid w:val="00CA7891"/>
    <w:rsid w:val="00CB0A9D"/>
    <w:rsid w:val="00CB304C"/>
    <w:rsid w:val="00CB376E"/>
    <w:rsid w:val="00CB43C1"/>
    <w:rsid w:val="00CB4F92"/>
    <w:rsid w:val="00CB5A28"/>
    <w:rsid w:val="00CB5CB2"/>
    <w:rsid w:val="00CB784E"/>
    <w:rsid w:val="00CC004A"/>
    <w:rsid w:val="00CC0AF7"/>
    <w:rsid w:val="00CC1A6F"/>
    <w:rsid w:val="00CC1BA0"/>
    <w:rsid w:val="00CC348F"/>
    <w:rsid w:val="00CC3F91"/>
    <w:rsid w:val="00CC438F"/>
    <w:rsid w:val="00CC4A76"/>
    <w:rsid w:val="00CC544A"/>
    <w:rsid w:val="00CC57EA"/>
    <w:rsid w:val="00CC6097"/>
    <w:rsid w:val="00CC6992"/>
    <w:rsid w:val="00CC6A0C"/>
    <w:rsid w:val="00CC7466"/>
    <w:rsid w:val="00CD05A0"/>
    <w:rsid w:val="00CD1826"/>
    <w:rsid w:val="00CD33CB"/>
    <w:rsid w:val="00CD437E"/>
    <w:rsid w:val="00CD47EB"/>
    <w:rsid w:val="00CD4989"/>
    <w:rsid w:val="00CD54B4"/>
    <w:rsid w:val="00CD55A6"/>
    <w:rsid w:val="00CD590C"/>
    <w:rsid w:val="00CD5DAD"/>
    <w:rsid w:val="00CD6386"/>
    <w:rsid w:val="00CD770E"/>
    <w:rsid w:val="00CD7CE2"/>
    <w:rsid w:val="00CE0789"/>
    <w:rsid w:val="00CE1A03"/>
    <w:rsid w:val="00CE2FBC"/>
    <w:rsid w:val="00CE34DF"/>
    <w:rsid w:val="00CE353B"/>
    <w:rsid w:val="00CE3962"/>
    <w:rsid w:val="00CE56BD"/>
    <w:rsid w:val="00CE6089"/>
    <w:rsid w:val="00CE68EF"/>
    <w:rsid w:val="00CF1D6D"/>
    <w:rsid w:val="00CF2482"/>
    <w:rsid w:val="00CF2BE2"/>
    <w:rsid w:val="00CF2C0E"/>
    <w:rsid w:val="00CF2DCC"/>
    <w:rsid w:val="00CF3119"/>
    <w:rsid w:val="00CF531D"/>
    <w:rsid w:val="00CF5BCD"/>
    <w:rsid w:val="00CF6144"/>
    <w:rsid w:val="00CF7E54"/>
    <w:rsid w:val="00D00204"/>
    <w:rsid w:val="00D006A7"/>
    <w:rsid w:val="00D00FD7"/>
    <w:rsid w:val="00D01C39"/>
    <w:rsid w:val="00D01CF9"/>
    <w:rsid w:val="00D02DDB"/>
    <w:rsid w:val="00D02F9F"/>
    <w:rsid w:val="00D03194"/>
    <w:rsid w:val="00D03234"/>
    <w:rsid w:val="00D0334D"/>
    <w:rsid w:val="00D0358B"/>
    <w:rsid w:val="00D037D6"/>
    <w:rsid w:val="00D0503C"/>
    <w:rsid w:val="00D05839"/>
    <w:rsid w:val="00D05AE2"/>
    <w:rsid w:val="00D06542"/>
    <w:rsid w:val="00D06C72"/>
    <w:rsid w:val="00D117C1"/>
    <w:rsid w:val="00D12587"/>
    <w:rsid w:val="00D13B06"/>
    <w:rsid w:val="00D156C9"/>
    <w:rsid w:val="00D15921"/>
    <w:rsid w:val="00D15FAA"/>
    <w:rsid w:val="00D17019"/>
    <w:rsid w:val="00D172F3"/>
    <w:rsid w:val="00D1780A"/>
    <w:rsid w:val="00D17ACE"/>
    <w:rsid w:val="00D200BA"/>
    <w:rsid w:val="00D202D8"/>
    <w:rsid w:val="00D20D54"/>
    <w:rsid w:val="00D21168"/>
    <w:rsid w:val="00D219C8"/>
    <w:rsid w:val="00D22DF2"/>
    <w:rsid w:val="00D2410C"/>
    <w:rsid w:val="00D2438C"/>
    <w:rsid w:val="00D26033"/>
    <w:rsid w:val="00D26CED"/>
    <w:rsid w:val="00D26F9F"/>
    <w:rsid w:val="00D27185"/>
    <w:rsid w:val="00D304AF"/>
    <w:rsid w:val="00D336C3"/>
    <w:rsid w:val="00D33767"/>
    <w:rsid w:val="00D33AB3"/>
    <w:rsid w:val="00D33B7A"/>
    <w:rsid w:val="00D35AE2"/>
    <w:rsid w:val="00D371E5"/>
    <w:rsid w:val="00D4023D"/>
    <w:rsid w:val="00D4072D"/>
    <w:rsid w:val="00D40748"/>
    <w:rsid w:val="00D42ED9"/>
    <w:rsid w:val="00D435F0"/>
    <w:rsid w:val="00D44613"/>
    <w:rsid w:val="00D468B8"/>
    <w:rsid w:val="00D471AF"/>
    <w:rsid w:val="00D50519"/>
    <w:rsid w:val="00D51CF6"/>
    <w:rsid w:val="00D52541"/>
    <w:rsid w:val="00D55951"/>
    <w:rsid w:val="00D55A17"/>
    <w:rsid w:val="00D56796"/>
    <w:rsid w:val="00D56824"/>
    <w:rsid w:val="00D602E7"/>
    <w:rsid w:val="00D640F6"/>
    <w:rsid w:val="00D645A3"/>
    <w:rsid w:val="00D66D8B"/>
    <w:rsid w:val="00D675ED"/>
    <w:rsid w:val="00D679B0"/>
    <w:rsid w:val="00D73C2C"/>
    <w:rsid w:val="00D76308"/>
    <w:rsid w:val="00D76575"/>
    <w:rsid w:val="00D768CE"/>
    <w:rsid w:val="00D778FE"/>
    <w:rsid w:val="00D809CC"/>
    <w:rsid w:val="00D80DF3"/>
    <w:rsid w:val="00D8259F"/>
    <w:rsid w:val="00D844B3"/>
    <w:rsid w:val="00D84F27"/>
    <w:rsid w:val="00D8564E"/>
    <w:rsid w:val="00D85910"/>
    <w:rsid w:val="00D85FA1"/>
    <w:rsid w:val="00D86496"/>
    <w:rsid w:val="00D86B4C"/>
    <w:rsid w:val="00D86D48"/>
    <w:rsid w:val="00D86FB2"/>
    <w:rsid w:val="00D87652"/>
    <w:rsid w:val="00D903FC"/>
    <w:rsid w:val="00D91A4A"/>
    <w:rsid w:val="00D91E17"/>
    <w:rsid w:val="00D92976"/>
    <w:rsid w:val="00D92BC7"/>
    <w:rsid w:val="00D946A9"/>
    <w:rsid w:val="00D97A45"/>
    <w:rsid w:val="00D97F4E"/>
    <w:rsid w:val="00DA153A"/>
    <w:rsid w:val="00DA240D"/>
    <w:rsid w:val="00DA4DD7"/>
    <w:rsid w:val="00DA5F71"/>
    <w:rsid w:val="00DA625B"/>
    <w:rsid w:val="00DB011E"/>
    <w:rsid w:val="00DB2FA5"/>
    <w:rsid w:val="00DB4224"/>
    <w:rsid w:val="00DB661F"/>
    <w:rsid w:val="00DB6C27"/>
    <w:rsid w:val="00DB6DA3"/>
    <w:rsid w:val="00DC0BB7"/>
    <w:rsid w:val="00DC4447"/>
    <w:rsid w:val="00DC67B1"/>
    <w:rsid w:val="00DC6EBB"/>
    <w:rsid w:val="00DC7CF1"/>
    <w:rsid w:val="00DC7FDF"/>
    <w:rsid w:val="00DD1A40"/>
    <w:rsid w:val="00DD276E"/>
    <w:rsid w:val="00DD58BE"/>
    <w:rsid w:val="00DD6AEA"/>
    <w:rsid w:val="00DE1BF5"/>
    <w:rsid w:val="00DF0403"/>
    <w:rsid w:val="00DF0EC1"/>
    <w:rsid w:val="00DF1299"/>
    <w:rsid w:val="00DF1758"/>
    <w:rsid w:val="00DF1ADD"/>
    <w:rsid w:val="00DF22C1"/>
    <w:rsid w:val="00DF23A8"/>
    <w:rsid w:val="00DF343D"/>
    <w:rsid w:val="00DF5696"/>
    <w:rsid w:val="00DF6CCC"/>
    <w:rsid w:val="00DF6F64"/>
    <w:rsid w:val="00DF721E"/>
    <w:rsid w:val="00DF7B22"/>
    <w:rsid w:val="00DF7E84"/>
    <w:rsid w:val="00E02E63"/>
    <w:rsid w:val="00E03628"/>
    <w:rsid w:val="00E0366A"/>
    <w:rsid w:val="00E0493E"/>
    <w:rsid w:val="00E04A10"/>
    <w:rsid w:val="00E05388"/>
    <w:rsid w:val="00E0570B"/>
    <w:rsid w:val="00E0635B"/>
    <w:rsid w:val="00E07669"/>
    <w:rsid w:val="00E10AC3"/>
    <w:rsid w:val="00E10C2A"/>
    <w:rsid w:val="00E10DBA"/>
    <w:rsid w:val="00E12731"/>
    <w:rsid w:val="00E15912"/>
    <w:rsid w:val="00E159AA"/>
    <w:rsid w:val="00E214D7"/>
    <w:rsid w:val="00E219CE"/>
    <w:rsid w:val="00E2273F"/>
    <w:rsid w:val="00E22D8F"/>
    <w:rsid w:val="00E239F4"/>
    <w:rsid w:val="00E2454B"/>
    <w:rsid w:val="00E2495C"/>
    <w:rsid w:val="00E24CC4"/>
    <w:rsid w:val="00E24EBC"/>
    <w:rsid w:val="00E2522C"/>
    <w:rsid w:val="00E2584E"/>
    <w:rsid w:val="00E26194"/>
    <w:rsid w:val="00E27271"/>
    <w:rsid w:val="00E279C7"/>
    <w:rsid w:val="00E27C5F"/>
    <w:rsid w:val="00E27CB7"/>
    <w:rsid w:val="00E30519"/>
    <w:rsid w:val="00E32F09"/>
    <w:rsid w:val="00E349E9"/>
    <w:rsid w:val="00E403B7"/>
    <w:rsid w:val="00E40D0B"/>
    <w:rsid w:val="00E41D36"/>
    <w:rsid w:val="00E422BE"/>
    <w:rsid w:val="00E425E0"/>
    <w:rsid w:val="00E43AE5"/>
    <w:rsid w:val="00E43B24"/>
    <w:rsid w:val="00E44C65"/>
    <w:rsid w:val="00E47BFC"/>
    <w:rsid w:val="00E47EC7"/>
    <w:rsid w:val="00E51B8B"/>
    <w:rsid w:val="00E52EB9"/>
    <w:rsid w:val="00E53730"/>
    <w:rsid w:val="00E54511"/>
    <w:rsid w:val="00E5476D"/>
    <w:rsid w:val="00E57577"/>
    <w:rsid w:val="00E6131A"/>
    <w:rsid w:val="00E67E96"/>
    <w:rsid w:val="00E727A8"/>
    <w:rsid w:val="00E72830"/>
    <w:rsid w:val="00E72D94"/>
    <w:rsid w:val="00E741A3"/>
    <w:rsid w:val="00E745C3"/>
    <w:rsid w:val="00E749E8"/>
    <w:rsid w:val="00E75EF0"/>
    <w:rsid w:val="00E7713B"/>
    <w:rsid w:val="00E80AE4"/>
    <w:rsid w:val="00E80B71"/>
    <w:rsid w:val="00E8251E"/>
    <w:rsid w:val="00E8291B"/>
    <w:rsid w:val="00E82CDE"/>
    <w:rsid w:val="00E8419F"/>
    <w:rsid w:val="00E84B86"/>
    <w:rsid w:val="00E85454"/>
    <w:rsid w:val="00E855F7"/>
    <w:rsid w:val="00E86CCF"/>
    <w:rsid w:val="00E871A3"/>
    <w:rsid w:val="00E8789F"/>
    <w:rsid w:val="00E91044"/>
    <w:rsid w:val="00E910D3"/>
    <w:rsid w:val="00E91575"/>
    <w:rsid w:val="00E9269E"/>
    <w:rsid w:val="00E93CB2"/>
    <w:rsid w:val="00E96851"/>
    <w:rsid w:val="00E96AAE"/>
    <w:rsid w:val="00EB05D0"/>
    <w:rsid w:val="00EB1D49"/>
    <w:rsid w:val="00EB1DE6"/>
    <w:rsid w:val="00EB1E93"/>
    <w:rsid w:val="00EB204B"/>
    <w:rsid w:val="00EB3609"/>
    <w:rsid w:val="00EB5DCC"/>
    <w:rsid w:val="00EB61D8"/>
    <w:rsid w:val="00EB7B78"/>
    <w:rsid w:val="00EC15B9"/>
    <w:rsid w:val="00EC1B78"/>
    <w:rsid w:val="00EC2584"/>
    <w:rsid w:val="00EC2A2B"/>
    <w:rsid w:val="00EC2C01"/>
    <w:rsid w:val="00EC3570"/>
    <w:rsid w:val="00EC69D9"/>
    <w:rsid w:val="00EC7024"/>
    <w:rsid w:val="00EC716B"/>
    <w:rsid w:val="00EC7730"/>
    <w:rsid w:val="00ED0046"/>
    <w:rsid w:val="00ED127E"/>
    <w:rsid w:val="00ED144D"/>
    <w:rsid w:val="00ED287C"/>
    <w:rsid w:val="00ED3525"/>
    <w:rsid w:val="00ED6C2B"/>
    <w:rsid w:val="00ED7B00"/>
    <w:rsid w:val="00EE0F3D"/>
    <w:rsid w:val="00EE1C92"/>
    <w:rsid w:val="00EE375E"/>
    <w:rsid w:val="00EE3B50"/>
    <w:rsid w:val="00EE56F0"/>
    <w:rsid w:val="00EE7814"/>
    <w:rsid w:val="00EF2109"/>
    <w:rsid w:val="00EF269A"/>
    <w:rsid w:val="00EF2BC3"/>
    <w:rsid w:val="00EF4AF6"/>
    <w:rsid w:val="00EF5554"/>
    <w:rsid w:val="00EF588F"/>
    <w:rsid w:val="00EF5CB6"/>
    <w:rsid w:val="00EF6FB8"/>
    <w:rsid w:val="00F0041A"/>
    <w:rsid w:val="00F006C0"/>
    <w:rsid w:val="00F00923"/>
    <w:rsid w:val="00F02686"/>
    <w:rsid w:val="00F02EC0"/>
    <w:rsid w:val="00F04E15"/>
    <w:rsid w:val="00F069EA"/>
    <w:rsid w:val="00F11DDC"/>
    <w:rsid w:val="00F11EAA"/>
    <w:rsid w:val="00F11F4A"/>
    <w:rsid w:val="00F11FB1"/>
    <w:rsid w:val="00F127D4"/>
    <w:rsid w:val="00F12B24"/>
    <w:rsid w:val="00F14747"/>
    <w:rsid w:val="00F1487F"/>
    <w:rsid w:val="00F14A63"/>
    <w:rsid w:val="00F16055"/>
    <w:rsid w:val="00F164B2"/>
    <w:rsid w:val="00F210EE"/>
    <w:rsid w:val="00F2184F"/>
    <w:rsid w:val="00F22756"/>
    <w:rsid w:val="00F22C25"/>
    <w:rsid w:val="00F236ED"/>
    <w:rsid w:val="00F24F54"/>
    <w:rsid w:val="00F259C2"/>
    <w:rsid w:val="00F2637F"/>
    <w:rsid w:val="00F26B5D"/>
    <w:rsid w:val="00F27282"/>
    <w:rsid w:val="00F30CF8"/>
    <w:rsid w:val="00F310EA"/>
    <w:rsid w:val="00F3129A"/>
    <w:rsid w:val="00F32D4C"/>
    <w:rsid w:val="00F34B14"/>
    <w:rsid w:val="00F34E3F"/>
    <w:rsid w:val="00F360A0"/>
    <w:rsid w:val="00F37616"/>
    <w:rsid w:val="00F4008D"/>
    <w:rsid w:val="00F40101"/>
    <w:rsid w:val="00F4020E"/>
    <w:rsid w:val="00F4146A"/>
    <w:rsid w:val="00F41F21"/>
    <w:rsid w:val="00F43017"/>
    <w:rsid w:val="00F44C3B"/>
    <w:rsid w:val="00F46723"/>
    <w:rsid w:val="00F469B3"/>
    <w:rsid w:val="00F46B91"/>
    <w:rsid w:val="00F4743E"/>
    <w:rsid w:val="00F50016"/>
    <w:rsid w:val="00F50D15"/>
    <w:rsid w:val="00F50D96"/>
    <w:rsid w:val="00F5175C"/>
    <w:rsid w:val="00F52963"/>
    <w:rsid w:val="00F53BC8"/>
    <w:rsid w:val="00F53E28"/>
    <w:rsid w:val="00F53E66"/>
    <w:rsid w:val="00F543D4"/>
    <w:rsid w:val="00F546DD"/>
    <w:rsid w:val="00F55732"/>
    <w:rsid w:val="00F60265"/>
    <w:rsid w:val="00F60D2F"/>
    <w:rsid w:val="00F6232F"/>
    <w:rsid w:val="00F64FA2"/>
    <w:rsid w:val="00F6520F"/>
    <w:rsid w:val="00F66309"/>
    <w:rsid w:val="00F70571"/>
    <w:rsid w:val="00F70799"/>
    <w:rsid w:val="00F71AF3"/>
    <w:rsid w:val="00F724FB"/>
    <w:rsid w:val="00F725D1"/>
    <w:rsid w:val="00F742BF"/>
    <w:rsid w:val="00F756DD"/>
    <w:rsid w:val="00F76063"/>
    <w:rsid w:val="00F82178"/>
    <w:rsid w:val="00F862F7"/>
    <w:rsid w:val="00F868E9"/>
    <w:rsid w:val="00F90DFE"/>
    <w:rsid w:val="00F91906"/>
    <w:rsid w:val="00F94AF5"/>
    <w:rsid w:val="00F961D9"/>
    <w:rsid w:val="00F972DA"/>
    <w:rsid w:val="00FA0043"/>
    <w:rsid w:val="00FA2924"/>
    <w:rsid w:val="00FA2D48"/>
    <w:rsid w:val="00FA472D"/>
    <w:rsid w:val="00FA4C72"/>
    <w:rsid w:val="00FA4F3D"/>
    <w:rsid w:val="00FA5E5E"/>
    <w:rsid w:val="00FA6462"/>
    <w:rsid w:val="00FA68F4"/>
    <w:rsid w:val="00FB00FF"/>
    <w:rsid w:val="00FB035E"/>
    <w:rsid w:val="00FB0602"/>
    <w:rsid w:val="00FB1717"/>
    <w:rsid w:val="00FB46B3"/>
    <w:rsid w:val="00FB58B9"/>
    <w:rsid w:val="00FC06E2"/>
    <w:rsid w:val="00FC1953"/>
    <w:rsid w:val="00FC205A"/>
    <w:rsid w:val="00FC2708"/>
    <w:rsid w:val="00FC3291"/>
    <w:rsid w:val="00FC485A"/>
    <w:rsid w:val="00FC4979"/>
    <w:rsid w:val="00FC5EA6"/>
    <w:rsid w:val="00FC720E"/>
    <w:rsid w:val="00FC79BC"/>
    <w:rsid w:val="00FC7AE7"/>
    <w:rsid w:val="00FD01BF"/>
    <w:rsid w:val="00FD39C6"/>
    <w:rsid w:val="00FD764D"/>
    <w:rsid w:val="00FD7681"/>
    <w:rsid w:val="00FE3301"/>
    <w:rsid w:val="00FE741D"/>
    <w:rsid w:val="00FF124E"/>
    <w:rsid w:val="00FF1C9B"/>
    <w:rsid w:val="00FF21C9"/>
    <w:rsid w:val="00FF23F1"/>
    <w:rsid w:val="00FF36AE"/>
    <w:rsid w:val="00FF4767"/>
    <w:rsid w:val="00FF48D1"/>
    <w:rsid w:val="00FF57E4"/>
    <w:rsid w:val="02BB17CB"/>
    <w:rsid w:val="02E24720"/>
    <w:rsid w:val="035F5DAC"/>
    <w:rsid w:val="04EE4861"/>
    <w:rsid w:val="05E317F3"/>
    <w:rsid w:val="07EE4BEE"/>
    <w:rsid w:val="095721E9"/>
    <w:rsid w:val="098C6194"/>
    <w:rsid w:val="09C24F5B"/>
    <w:rsid w:val="0ACA1FA1"/>
    <w:rsid w:val="0CA126F9"/>
    <w:rsid w:val="0CF25A42"/>
    <w:rsid w:val="0E6F41B4"/>
    <w:rsid w:val="0F4D436E"/>
    <w:rsid w:val="0FBF2EF8"/>
    <w:rsid w:val="11FB773A"/>
    <w:rsid w:val="12C71253"/>
    <w:rsid w:val="12F03042"/>
    <w:rsid w:val="13DE0297"/>
    <w:rsid w:val="159F6E1C"/>
    <w:rsid w:val="160F724A"/>
    <w:rsid w:val="16D2636C"/>
    <w:rsid w:val="17013A85"/>
    <w:rsid w:val="17D95190"/>
    <w:rsid w:val="18702B36"/>
    <w:rsid w:val="1A6A2680"/>
    <w:rsid w:val="1CC20856"/>
    <w:rsid w:val="1D8E0188"/>
    <w:rsid w:val="1EAB465D"/>
    <w:rsid w:val="1F1C3591"/>
    <w:rsid w:val="1F455E03"/>
    <w:rsid w:val="1FD64B2D"/>
    <w:rsid w:val="20233244"/>
    <w:rsid w:val="20A65B72"/>
    <w:rsid w:val="20D824EA"/>
    <w:rsid w:val="21490157"/>
    <w:rsid w:val="218A0E86"/>
    <w:rsid w:val="2337521E"/>
    <w:rsid w:val="26BB17DD"/>
    <w:rsid w:val="271620AA"/>
    <w:rsid w:val="28E47DC5"/>
    <w:rsid w:val="29505D1B"/>
    <w:rsid w:val="2B173D12"/>
    <w:rsid w:val="2DA17952"/>
    <w:rsid w:val="2DD847FC"/>
    <w:rsid w:val="2EDF19C4"/>
    <w:rsid w:val="2F390A9C"/>
    <w:rsid w:val="2F95143C"/>
    <w:rsid w:val="30E723CB"/>
    <w:rsid w:val="319C19E8"/>
    <w:rsid w:val="31CF2F6A"/>
    <w:rsid w:val="31E511A8"/>
    <w:rsid w:val="336E6D90"/>
    <w:rsid w:val="347562D6"/>
    <w:rsid w:val="35A01C74"/>
    <w:rsid w:val="35A457FF"/>
    <w:rsid w:val="36DF3689"/>
    <w:rsid w:val="379F30FB"/>
    <w:rsid w:val="38E23927"/>
    <w:rsid w:val="3B5469CD"/>
    <w:rsid w:val="3B6A7D18"/>
    <w:rsid w:val="3B6E28A1"/>
    <w:rsid w:val="3D2948EA"/>
    <w:rsid w:val="3DC425A5"/>
    <w:rsid w:val="3DD45E3A"/>
    <w:rsid w:val="3E2935EA"/>
    <w:rsid w:val="3FAD3732"/>
    <w:rsid w:val="40500658"/>
    <w:rsid w:val="42903D86"/>
    <w:rsid w:val="42D9303F"/>
    <w:rsid w:val="443F467F"/>
    <w:rsid w:val="45881757"/>
    <w:rsid w:val="47DD5470"/>
    <w:rsid w:val="48C51D9F"/>
    <w:rsid w:val="490F53CE"/>
    <w:rsid w:val="49907AB4"/>
    <w:rsid w:val="4C656AC2"/>
    <w:rsid w:val="4DBE61B5"/>
    <w:rsid w:val="4E0E773D"/>
    <w:rsid w:val="4E3368FE"/>
    <w:rsid w:val="503F00BA"/>
    <w:rsid w:val="535652E8"/>
    <w:rsid w:val="53722E6E"/>
    <w:rsid w:val="53762E4F"/>
    <w:rsid w:val="55563D85"/>
    <w:rsid w:val="56B01E4C"/>
    <w:rsid w:val="57176EE6"/>
    <w:rsid w:val="576773B2"/>
    <w:rsid w:val="57E064FC"/>
    <w:rsid w:val="587744F8"/>
    <w:rsid w:val="58CF5CB9"/>
    <w:rsid w:val="5A4844E8"/>
    <w:rsid w:val="5A6D0C80"/>
    <w:rsid w:val="5C2877A2"/>
    <w:rsid w:val="5D1D1F95"/>
    <w:rsid w:val="5E1C3A2E"/>
    <w:rsid w:val="5EA5229A"/>
    <w:rsid w:val="5EBA530D"/>
    <w:rsid w:val="5ED67919"/>
    <w:rsid w:val="5FD31ED8"/>
    <w:rsid w:val="617347E3"/>
    <w:rsid w:val="63A36B89"/>
    <w:rsid w:val="642563E3"/>
    <w:rsid w:val="643710D2"/>
    <w:rsid w:val="644F2539"/>
    <w:rsid w:val="64872B0A"/>
    <w:rsid w:val="666C2860"/>
    <w:rsid w:val="678C7E88"/>
    <w:rsid w:val="695360A7"/>
    <w:rsid w:val="6A267E1A"/>
    <w:rsid w:val="6A5B0F7D"/>
    <w:rsid w:val="6ABE049C"/>
    <w:rsid w:val="6AF84A43"/>
    <w:rsid w:val="6C3941D7"/>
    <w:rsid w:val="6DBC1FA4"/>
    <w:rsid w:val="6F3038C2"/>
    <w:rsid w:val="6FA6544E"/>
    <w:rsid w:val="703E15B9"/>
    <w:rsid w:val="71297F0A"/>
    <w:rsid w:val="71705F59"/>
    <w:rsid w:val="7430673E"/>
    <w:rsid w:val="760D10D4"/>
    <w:rsid w:val="76754085"/>
    <w:rsid w:val="76933108"/>
    <w:rsid w:val="76EC7AC1"/>
    <w:rsid w:val="781F477B"/>
    <w:rsid w:val="783B47AF"/>
    <w:rsid w:val="78AB168F"/>
    <w:rsid w:val="794A5521"/>
    <w:rsid w:val="7BA30E0C"/>
    <w:rsid w:val="7C191152"/>
    <w:rsid w:val="7D601F92"/>
    <w:rsid w:val="7D6268AA"/>
    <w:rsid w:val="7DF9B98D"/>
    <w:rsid w:val="7ECF26DF"/>
    <w:rsid w:val="8FFDF1AB"/>
    <w:rsid w:val="EE6DB813"/>
    <w:rsid w:val="EF7F3E1A"/>
    <w:rsid w:val="FA6E0645"/>
    <w:rsid w:val="FFEA632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iPriority="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7"/>
    <w:qFormat/>
    <w:uiPriority w:val="9"/>
    <w:pPr>
      <w:keepNext/>
      <w:keepLines/>
      <w:spacing w:before="260" w:after="260" w:line="416" w:lineRule="auto"/>
      <w:outlineLvl w:val="1"/>
    </w:pPr>
    <w:rPr>
      <w:rFonts w:ascii="Cambria" w:hAnsi="Cambria"/>
      <w:b/>
      <w:bCs/>
      <w:sz w:val="32"/>
      <w:szCs w:val="32"/>
    </w:rPr>
  </w:style>
  <w:style w:type="paragraph" w:styleId="2">
    <w:name w:val="heading 3"/>
    <w:basedOn w:val="1"/>
    <w:next w:val="1"/>
    <w:link w:val="58"/>
    <w:qFormat/>
    <w:uiPriority w:val="0"/>
    <w:pPr>
      <w:keepNext/>
      <w:keepLines/>
      <w:spacing w:before="260" w:after="260" w:line="416" w:lineRule="auto"/>
      <w:outlineLvl w:val="2"/>
    </w:pPr>
    <w:rPr>
      <w:b/>
      <w:bCs/>
      <w:sz w:val="32"/>
      <w:szCs w:val="32"/>
    </w:rPr>
  </w:style>
  <w:style w:type="paragraph" w:styleId="5">
    <w:name w:val="heading 4"/>
    <w:basedOn w:val="1"/>
    <w:next w:val="1"/>
    <w:link w:val="5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1"/>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2"/>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3"/>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4"/>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5"/>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0"/>
    <w:qFormat/>
    <w:uiPriority w:val="0"/>
    <w:pPr>
      <w:ind w:firstLine="420"/>
    </w:pPr>
    <w:rPr>
      <w:rFonts w:ascii="Calibri" w:hAnsi="Calibri"/>
      <w:szCs w:val="20"/>
    </w:rPr>
  </w:style>
  <w:style w:type="paragraph" w:styleId="12">
    <w:name w:val="List 3"/>
    <w:basedOn w:val="1"/>
    <w:qFormat/>
    <w:uiPriority w:val="0"/>
    <w:pPr>
      <w:ind w:left="100" w:leftChars="400" w:hanging="200" w:hangingChars="200"/>
    </w:pPr>
  </w:style>
  <w:style w:type="paragraph" w:styleId="13">
    <w:name w:val="toc 7"/>
    <w:basedOn w:val="1"/>
    <w:next w:val="1"/>
    <w:unhideWhenUsed/>
    <w:qFormat/>
    <w:uiPriority w:val="0"/>
    <w:pPr>
      <w:ind w:left="2520" w:leftChars="1200"/>
    </w:pPr>
    <w:rPr>
      <w:rFonts w:ascii="Calibri" w:hAnsi="Calibri"/>
      <w:szCs w:val="22"/>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semiHidden/>
    <w:qFormat/>
    <w:uiPriority w:val="0"/>
    <w:pPr>
      <w:shd w:val="clear" w:color="auto" w:fill="000080"/>
    </w:pPr>
  </w:style>
  <w:style w:type="paragraph" w:styleId="17">
    <w:name w:val="annotation text"/>
    <w:basedOn w:val="1"/>
    <w:link w:val="70"/>
    <w:qFormat/>
    <w:uiPriority w:val="0"/>
    <w:pPr>
      <w:jc w:val="left"/>
    </w:pPr>
  </w:style>
  <w:style w:type="paragraph" w:styleId="18">
    <w:name w:val="Body Text 3"/>
    <w:basedOn w:val="1"/>
    <w:link w:val="77"/>
    <w:qFormat/>
    <w:uiPriority w:val="0"/>
    <w:pPr>
      <w:spacing w:line="500" w:lineRule="exact"/>
    </w:pPr>
    <w:rPr>
      <w:b/>
      <w:bCs/>
      <w:sz w:val="24"/>
    </w:rPr>
  </w:style>
  <w:style w:type="paragraph" w:styleId="19">
    <w:name w:val="Body Text"/>
    <w:basedOn w:val="1"/>
    <w:link w:val="71"/>
    <w:unhideWhenUsed/>
    <w:qFormat/>
    <w:uiPriority w:val="99"/>
    <w:pPr>
      <w:spacing w:after="120"/>
    </w:pPr>
  </w:style>
  <w:style w:type="paragraph" w:styleId="20">
    <w:name w:val="Body Text Indent"/>
    <w:basedOn w:val="1"/>
    <w:link w:val="69"/>
    <w:qFormat/>
    <w:uiPriority w:val="0"/>
    <w:pPr>
      <w:ind w:firstLine="830" w:firstLineChars="352"/>
    </w:pPr>
    <w:rPr>
      <w:rFonts w:ascii="仿宋_GB2312" w:eastAsia="仿宋_GB2312"/>
      <w:sz w:val="32"/>
      <w:szCs w:val="20"/>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0"/>
    <w:pPr>
      <w:ind w:left="1680" w:leftChars="800"/>
    </w:pPr>
    <w:rPr>
      <w:rFonts w:ascii="Calibri" w:hAnsi="Calibri"/>
      <w:szCs w:val="22"/>
    </w:rPr>
  </w:style>
  <w:style w:type="paragraph" w:styleId="24">
    <w:name w:val="toc 3"/>
    <w:basedOn w:val="1"/>
    <w:next w:val="1"/>
    <w:unhideWhenUsed/>
    <w:qFormat/>
    <w:uiPriority w:val="0"/>
    <w:pPr>
      <w:ind w:left="840" w:leftChars="400"/>
    </w:pPr>
    <w:rPr>
      <w:rFonts w:ascii="Calibri" w:hAnsi="Calibri"/>
      <w:szCs w:val="22"/>
    </w:rPr>
  </w:style>
  <w:style w:type="paragraph" w:styleId="25">
    <w:name w:val="Plain Text"/>
    <w:basedOn w:val="1"/>
    <w:link w:val="68"/>
    <w:qFormat/>
    <w:uiPriority w:val="0"/>
    <w:rPr>
      <w:rFonts w:ascii="宋体" w:hAnsi="Courier New" w:cs="Courier New"/>
      <w:szCs w:val="21"/>
    </w:rPr>
  </w:style>
  <w:style w:type="paragraph" w:styleId="26">
    <w:name w:val="toc 8"/>
    <w:basedOn w:val="1"/>
    <w:next w:val="1"/>
    <w:unhideWhenUsed/>
    <w:qFormat/>
    <w:uiPriority w:val="0"/>
    <w:pPr>
      <w:ind w:left="2940" w:leftChars="1400"/>
    </w:pPr>
    <w:rPr>
      <w:rFonts w:ascii="Calibri" w:hAnsi="Calibri"/>
      <w:szCs w:val="22"/>
    </w:rPr>
  </w:style>
  <w:style w:type="paragraph" w:styleId="27">
    <w:name w:val="Date"/>
    <w:basedOn w:val="1"/>
    <w:next w:val="1"/>
    <w:link w:val="72"/>
    <w:semiHidden/>
    <w:unhideWhenUsed/>
    <w:qFormat/>
    <w:uiPriority w:val="99"/>
    <w:pPr>
      <w:ind w:left="100" w:leftChars="2500"/>
    </w:pPr>
  </w:style>
  <w:style w:type="paragraph" w:styleId="28">
    <w:name w:val="Body Text Indent 2"/>
    <w:basedOn w:val="1"/>
    <w:link w:val="75"/>
    <w:qFormat/>
    <w:uiPriority w:val="0"/>
    <w:pPr>
      <w:ind w:firstLine="630"/>
    </w:pPr>
    <w:rPr>
      <w:sz w:val="32"/>
      <w:szCs w:val="20"/>
    </w:rPr>
  </w:style>
  <w:style w:type="paragraph" w:styleId="29">
    <w:name w:val="endnote text"/>
    <w:basedOn w:val="1"/>
    <w:semiHidden/>
    <w:unhideWhenUsed/>
    <w:qFormat/>
    <w:uiPriority w:val="0"/>
    <w:pPr>
      <w:snapToGrid w:val="0"/>
      <w:jc w:val="left"/>
    </w:pPr>
  </w:style>
  <w:style w:type="paragraph" w:styleId="30">
    <w:name w:val="Balloon Text"/>
    <w:basedOn w:val="1"/>
    <w:semiHidden/>
    <w:qFormat/>
    <w:uiPriority w:val="0"/>
    <w:rPr>
      <w:sz w:val="18"/>
      <w:szCs w:val="18"/>
    </w:rPr>
  </w:style>
  <w:style w:type="paragraph" w:styleId="31">
    <w:name w:val="footer"/>
    <w:basedOn w:val="1"/>
    <w:link w:val="67"/>
    <w:unhideWhenUsed/>
    <w:qFormat/>
    <w:uiPriority w:val="99"/>
    <w:pPr>
      <w:tabs>
        <w:tab w:val="center" w:pos="4153"/>
        <w:tab w:val="right" w:pos="8306"/>
      </w:tabs>
      <w:snapToGrid w:val="0"/>
      <w:jc w:val="left"/>
    </w:pPr>
    <w:rPr>
      <w:sz w:val="18"/>
      <w:szCs w:val="18"/>
    </w:rPr>
  </w:style>
  <w:style w:type="paragraph" w:styleId="32">
    <w:name w:val="header"/>
    <w:basedOn w:val="1"/>
    <w:link w:val="66"/>
    <w:unhideWhenUsed/>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unhideWhenUsed/>
    <w:qFormat/>
    <w:uiPriority w:val="39"/>
  </w:style>
  <w:style w:type="paragraph" w:styleId="34">
    <w:name w:val="toc 4"/>
    <w:basedOn w:val="1"/>
    <w:next w:val="1"/>
    <w:unhideWhenUsed/>
    <w:qFormat/>
    <w:uiPriority w:val="0"/>
    <w:pPr>
      <w:ind w:left="1260" w:leftChars="600"/>
    </w:pPr>
    <w:rPr>
      <w:rFonts w:ascii="Calibri" w:hAnsi="Calibri"/>
      <w:szCs w:val="22"/>
    </w:rPr>
  </w:style>
  <w:style w:type="paragraph" w:styleId="35">
    <w:name w:val="index heading"/>
    <w:basedOn w:val="1"/>
    <w:next w:val="36"/>
    <w:semiHidden/>
    <w:qFormat/>
    <w:uiPriority w:val="0"/>
    <w:rPr>
      <w:szCs w:val="20"/>
    </w:rPr>
  </w:style>
  <w:style w:type="paragraph" w:styleId="36">
    <w:name w:val="index 1"/>
    <w:basedOn w:val="1"/>
    <w:next w:val="1"/>
    <w:semiHidden/>
    <w:qFormat/>
    <w:uiPriority w:val="0"/>
    <w:pPr>
      <w:spacing w:line="400" w:lineRule="exact"/>
      <w:ind w:firstLine="420" w:firstLineChars="200"/>
    </w:pPr>
    <w:rPr>
      <w:rFonts w:ascii="宋体" w:hAnsi="Courier New"/>
      <w:b/>
      <w:szCs w:val="20"/>
    </w:rPr>
  </w:style>
  <w:style w:type="paragraph" w:styleId="37">
    <w:name w:val="List"/>
    <w:basedOn w:val="1"/>
    <w:qFormat/>
    <w:uiPriority w:val="0"/>
    <w:pPr>
      <w:ind w:left="200" w:hanging="200" w:hangingChars="200"/>
    </w:pPr>
    <w:rPr>
      <w:sz w:val="28"/>
    </w:rPr>
  </w:style>
  <w:style w:type="paragraph" w:styleId="38">
    <w:name w:val="footnote text"/>
    <w:basedOn w:val="1"/>
    <w:semiHidden/>
    <w:unhideWhenUsed/>
    <w:qFormat/>
    <w:uiPriority w:val="0"/>
    <w:pPr>
      <w:snapToGrid w:val="0"/>
      <w:jc w:val="left"/>
    </w:pPr>
    <w:rPr>
      <w:sz w:val="18"/>
      <w:szCs w:val="18"/>
    </w:rPr>
  </w:style>
  <w:style w:type="paragraph" w:styleId="39">
    <w:name w:val="toc 6"/>
    <w:basedOn w:val="1"/>
    <w:next w:val="1"/>
    <w:unhideWhenUsed/>
    <w:qFormat/>
    <w:uiPriority w:val="0"/>
    <w:pPr>
      <w:ind w:left="2100" w:leftChars="1000"/>
    </w:pPr>
    <w:rPr>
      <w:rFonts w:ascii="Calibri" w:hAnsi="Calibri"/>
      <w:szCs w:val="22"/>
    </w:rPr>
  </w:style>
  <w:style w:type="paragraph" w:styleId="40">
    <w:name w:val="Body Text Indent 3"/>
    <w:basedOn w:val="1"/>
    <w:link w:val="74"/>
    <w:qFormat/>
    <w:uiPriority w:val="0"/>
    <w:pPr>
      <w:spacing w:after="120"/>
      <w:ind w:left="420" w:leftChars="200"/>
    </w:pPr>
    <w:rPr>
      <w:sz w:val="16"/>
      <w:szCs w:val="16"/>
    </w:rPr>
  </w:style>
  <w:style w:type="paragraph" w:styleId="41">
    <w:name w:val="toc 2"/>
    <w:basedOn w:val="1"/>
    <w:next w:val="1"/>
    <w:unhideWhenUsed/>
    <w:qFormat/>
    <w:uiPriority w:val="39"/>
    <w:pPr>
      <w:ind w:left="420" w:leftChars="200"/>
    </w:pPr>
  </w:style>
  <w:style w:type="paragraph" w:styleId="42">
    <w:name w:val="toc 9"/>
    <w:basedOn w:val="1"/>
    <w:next w:val="1"/>
    <w:unhideWhenUsed/>
    <w:qFormat/>
    <w:uiPriority w:val="0"/>
    <w:pPr>
      <w:ind w:left="3360" w:leftChars="1600"/>
    </w:pPr>
    <w:rPr>
      <w:rFonts w:ascii="Calibri" w:hAnsi="Calibri"/>
      <w:szCs w:val="22"/>
    </w:rPr>
  </w:style>
  <w:style w:type="paragraph" w:styleId="43">
    <w:name w:val="Body Text 2"/>
    <w:basedOn w:val="1"/>
    <w:link w:val="76"/>
    <w:qFormat/>
    <w:uiPriority w:val="0"/>
    <w:pPr>
      <w:spacing w:after="120" w:line="480" w:lineRule="auto"/>
    </w:pPr>
  </w:style>
  <w:style w:type="paragraph" w:styleId="4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0"/>
    <w:pPr>
      <w:widowControl/>
      <w:spacing w:before="100" w:beforeAutospacing="1" w:after="100" w:afterAutospacing="1"/>
      <w:jc w:val="left"/>
    </w:pPr>
    <w:rPr>
      <w:rFonts w:ascii="宋体" w:hAnsi="宋体"/>
      <w:kern w:val="0"/>
      <w:sz w:val="24"/>
    </w:rPr>
  </w:style>
  <w:style w:type="paragraph" w:styleId="46">
    <w:name w:val="Title"/>
    <w:basedOn w:val="1"/>
    <w:next w:val="1"/>
    <w:qFormat/>
    <w:uiPriority w:val="0"/>
    <w:pPr>
      <w:spacing w:before="240" w:after="60"/>
      <w:jc w:val="center"/>
      <w:outlineLvl w:val="0"/>
    </w:pPr>
    <w:rPr>
      <w:rFonts w:ascii="Cambria" w:hAnsi="Cambria"/>
      <w:b/>
      <w:bCs/>
      <w:sz w:val="32"/>
      <w:szCs w:val="32"/>
    </w:rPr>
  </w:style>
  <w:style w:type="paragraph" w:styleId="47">
    <w:name w:val="annotation subject"/>
    <w:basedOn w:val="17"/>
    <w:next w:val="17"/>
    <w:semiHidden/>
    <w:qFormat/>
    <w:uiPriority w:val="0"/>
    <w:rPr>
      <w:b/>
      <w:bCs/>
    </w:rPr>
  </w:style>
  <w:style w:type="paragraph" w:styleId="48">
    <w:name w:val="Body Text First Indent"/>
    <w:basedOn w:val="19"/>
    <w:link w:val="94"/>
    <w:qFormat/>
    <w:uiPriority w:val="0"/>
    <w:pPr>
      <w:ind w:firstLine="420" w:firstLineChars="100"/>
    </w:pPr>
    <w:rPr>
      <w:rFonts w:ascii="宋体" w:hAnsi="Courier New"/>
      <w:kern w:val="0"/>
      <w:sz w:val="20"/>
      <w:szCs w:val="21"/>
    </w:rPr>
  </w:style>
  <w:style w:type="table" w:styleId="50">
    <w:name w:val="Table Grid"/>
    <w:basedOn w:val="4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2">
    <w:name w:val="Strong"/>
    <w:qFormat/>
    <w:uiPriority w:val="0"/>
    <w:rPr>
      <w:rFonts w:ascii="Tahoma" w:hAnsi="Tahoma" w:eastAsia="宋体"/>
      <w:b/>
      <w:bCs/>
      <w:spacing w:val="10"/>
      <w:kern w:val="2"/>
      <w:sz w:val="24"/>
      <w:szCs w:val="24"/>
      <w:lang w:val="en-US" w:eastAsia="zh-CN" w:bidi="ar-SA"/>
    </w:rPr>
  </w:style>
  <w:style w:type="character" w:styleId="53">
    <w:name w:val="page number"/>
    <w:basedOn w:val="51"/>
    <w:qFormat/>
    <w:uiPriority w:val="0"/>
  </w:style>
  <w:style w:type="character" w:styleId="54">
    <w:name w:val="Hyperlink"/>
    <w:unhideWhenUsed/>
    <w:qFormat/>
    <w:uiPriority w:val="99"/>
    <w:rPr>
      <w:color w:val="0000FF"/>
      <w:u w:val="single"/>
    </w:rPr>
  </w:style>
  <w:style w:type="character" w:styleId="55">
    <w:name w:val="annotation reference"/>
    <w:qFormat/>
    <w:uiPriority w:val="0"/>
    <w:rPr>
      <w:sz w:val="21"/>
      <w:szCs w:val="21"/>
    </w:rPr>
  </w:style>
  <w:style w:type="character" w:customStyle="1" w:styleId="56">
    <w:name w:val="标题 1 Char"/>
    <w:link w:val="3"/>
    <w:qFormat/>
    <w:uiPriority w:val="0"/>
    <w:rPr>
      <w:rFonts w:eastAsia="宋体"/>
      <w:b/>
      <w:bCs/>
      <w:kern w:val="44"/>
      <w:sz w:val="44"/>
      <w:szCs w:val="44"/>
      <w:lang w:val="en-US" w:eastAsia="zh-CN" w:bidi="ar-SA"/>
    </w:rPr>
  </w:style>
  <w:style w:type="character" w:customStyle="1" w:styleId="57">
    <w:name w:val="标题 2 Char1"/>
    <w:link w:val="4"/>
    <w:qFormat/>
    <w:uiPriority w:val="9"/>
    <w:rPr>
      <w:rFonts w:ascii="Cambria" w:hAnsi="Cambria" w:eastAsia="宋体" w:cs="Times New Roman"/>
      <w:b/>
      <w:bCs/>
      <w:kern w:val="2"/>
      <w:sz w:val="32"/>
      <w:szCs w:val="32"/>
    </w:rPr>
  </w:style>
  <w:style w:type="character" w:customStyle="1" w:styleId="58">
    <w:name w:val="标题 3 Char"/>
    <w:link w:val="2"/>
    <w:qFormat/>
    <w:uiPriority w:val="0"/>
    <w:rPr>
      <w:rFonts w:eastAsia="宋体"/>
      <w:b/>
      <w:bCs/>
      <w:kern w:val="2"/>
      <w:sz w:val="32"/>
      <w:szCs w:val="32"/>
      <w:lang w:val="en-US" w:eastAsia="zh-CN" w:bidi="ar-SA"/>
    </w:rPr>
  </w:style>
  <w:style w:type="character" w:customStyle="1" w:styleId="59">
    <w:name w:val="标题 4 Char"/>
    <w:link w:val="5"/>
    <w:qFormat/>
    <w:uiPriority w:val="0"/>
    <w:rPr>
      <w:rFonts w:ascii="Arial" w:hAnsi="Arial" w:eastAsia="黑体"/>
      <w:b/>
      <w:bCs/>
      <w:kern w:val="2"/>
      <w:sz w:val="28"/>
      <w:szCs w:val="28"/>
      <w:lang w:val="en-US" w:eastAsia="zh-CN" w:bidi="ar-SA"/>
    </w:rPr>
  </w:style>
  <w:style w:type="character" w:customStyle="1" w:styleId="60">
    <w:name w:val="正文缩进 Char"/>
    <w:link w:val="7"/>
    <w:qFormat/>
    <w:uiPriority w:val="0"/>
    <w:rPr>
      <w:rFonts w:eastAsia="宋体"/>
      <w:kern w:val="2"/>
      <w:sz w:val="21"/>
      <w:lang w:val="en-US" w:eastAsia="zh-CN" w:bidi="ar-SA"/>
    </w:rPr>
  </w:style>
  <w:style w:type="character" w:customStyle="1" w:styleId="61">
    <w:name w:val="标题 5 Char"/>
    <w:link w:val="6"/>
    <w:qFormat/>
    <w:uiPriority w:val="0"/>
    <w:rPr>
      <w:rFonts w:eastAsia="宋体"/>
      <w:b/>
      <w:kern w:val="2"/>
      <w:sz w:val="28"/>
      <w:szCs w:val="24"/>
      <w:lang w:val="en-US" w:eastAsia="zh-CN" w:bidi="ar-SA"/>
    </w:rPr>
  </w:style>
  <w:style w:type="character" w:customStyle="1" w:styleId="62">
    <w:name w:val="标题 6 Char"/>
    <w:link w:val="8"/>
    <w:qFormat/>
    <w:uiPriority w:val="0"/>
    <w:rPr>
      <w:rFonts w:ascii="Arial" w:hAnsi="Arial" w:eastAsia="黑体"/>
      <w:b/>
      <w:kern w:val="2"/>
      <w:sz w:val="24"/>
      <w:szCs w:val="24"/>
      <w:lang w:val="en-US" w:eastAsia="zh-CN" w:bidi="ar-SA"/>
    </w:rPr>
  </w:style>
  <w:style w:type="character" w:customStyle="1" w:styleId="63">
    <w:name w:val="标题 7 Char"/>
    <w:link w:val="9"/>
    <w:qFormat/>
    <w:uiPriority w:val="0"/>
    <w:rPr>
      <w:rFonts w:eastAsia="宋体"/>
      <w:b/>
      <w:kern w:val="2"/>
      <w:sz w:val="24"/>
      <w:szCs w:val="24"/>
      <w:lang w:val="en-US" w:eastAsia="zh-CN" w:bidi="ar-SA"/>
    </w:rPr>
  </w:style>
  <w:style w:type="character" w:customStyle="1" w:styleId="64">
    <w:name w:val="标题 8 Char"/>
    <w:link w:val="10"/>
    <w:qFormat/>
    <w:uiPriority w:val="0"/>
    <w:rPr>
      <w:rFonts w:ascii="Arial" w:hAnsi="Arial" w:eastAsia="黑体"/>
      <w:kern w:val="2"/>
      <w:sz w:val="24"/>
      <w:szCs w:val="24"/>
      <w:lang w:val="en-US" w:eastAsia="zh-CN" w:bidi="ar-SA"/>
    </w:rPr>
  </w:style>
  <w:style w:type="character" w:customStyle="1" w:styleId="65">
    <w:name w:val="标题 9 Char"/>
    <w:link w:val="11"/>
    <w:qFormat/>
    <w:uiPriority w:val="0"/>
    <w:rPr>
      <w:rFonts w:ascii="Arial" w:hAnsi="Arial" w:eastAsia="黑体"/>
      <w:kern w:val="2"/>
      <w:sz w:val="21"/>
      <w:szCs w:val="24"/>
      <w:lang w:val="en-US" w:eastAsia="zh-CN" w:bidi="ar-SA"/>
    </w:rPr>
  </w:style>
  <w:style w:type="character" w:customStyle="1" w:styleId="66">
    <w:name w:val="页眉 Char"/>
    <w:link w:val="32"/>
    <w:qFormat/>
    <w:uiPriority w:val="99"/>
    <w:rPr>
      <w:sz w:val="18"/>
      <w:szCs w:val="18"/>
    </w:rPr>
  </w:style>
  <w:style w:type="character" w:customStyle="1" w:styleId="67">
    <w:name w:val="页脚 Char"/>
    <w:link w:val="31"/>
    <w:qFormat/>
    <w:uiPriority w:val="99"/>
    <w:rPr>
      <w:sz w:val="18"/>
      <w:szCs w:val="18"/>
    </w:rPr>
  </w:style>
  <w:style w:type="character" w:customStyle="1" w:styleId="68">
    <w:name w:val="纯文本 Char"/>
    <w:link w:val="25"/>
    <w:qFormat/>
    <w:uiPriority w:val="0"/>
    <w:rPr>
      <w:rFonts w:ascii="宋体" w:hAnsi="Courier New" w:eastAsia="宋体" w:cs="Courier New"/>
      <w:szCs w:val="21"/>
    </w:rPr>
  </w:style>
  <w:style w:type="character" w:customStyle="1" w:styleId="69">
    <w:name w:val="正文文本缩进 Char"/>
    <w:link w:val="20"/>
    <w:qFormat/>
    <w:uiPriority w:val="0"/>
    <w:rPr>
      <w:rFonts w:ascii="仿宋_GB2312" w:hAnsi="Times New Roman" w:eastAsia="仿宋_GB2312" w:cs="Times New Roman"/>
      <w:sz w:val="32"/>
      <w:szCs w:val="20"/>
    </w:rPr>
  </w:style>
  <w:style w:type="character" w:customStyle="1" w:styleId="70">
    <w:name w:val="批注文字 Char"/>
    <w:link w:val="17"/>
    <w:qFormat/>
    <w:uiPriority w:val="0"/>
    <w:rPr>
      <w:rFonts w:ascii="Times New Roman" w:hAnsi="Times New Roman"/>
      <w:kern w:val="2"/>
      <w:sz w:val="21"/>
      <w:szCs w:val="24"/>
    </w:rPr>
  </w:style>
  <w:style w:type="character" w:customStyle="1" w:styleId="71">
    <w:name w:val="正文文本 Char"/>
    <w:link w:val="19"/>
    <w:qFormat/>
    <w:uiPriority w:val="99"/>
    <w:rPr>
      <w:rFonts w:ascii="Times New Roman" w:hAnsi="Times New Roman"/>
      <w:kern w:val="2"/>
      <w:sz w:val="21"/>
      <w:szCs w:val="24"/>
    </w:rPr>
  </w:style>
  <w:style w:type="character" w:customStyle="1" w:styleId="72">
    <w:name w:val="日期 Char"/>
    <w:link w:val="27"/>
    <w:semiHidden/>
    <w:qFormat/>
    <w:uiPriority w:val="99"/>
    <w:rPr>
      <w:rFonts w:ascii="Times New Roman" w:hAnsi="Times New Roman"/>
      <w:kern w:val="2"/>
      <w:sz w:val="21"/>
      <w:szCs w:val="24"/>
    </w:rPr>
  </w:style>
  <w:style w:type="character" w:customStyle="1" w:styleId="73">
    <w:name w:val="apple-style-span"/>
    <w:basedOn w:val="51"/>
    <w:qFormat/>
    <w:uiPriority w:val="0"/>
  </w:style>
  <w:style w:type="character" w:customStyle="1" w:styleId="74">
    <w:name w:val="正文文本缩进 3 Char"/>
    <w:link w:val="40"/>
    <w:qFormat/>
    <w:uiPriority w:val="0"/>
    <w:rPr>
      <w:rFonts w:eastAsia="宋体"/>
      <w:kern w:val="2"/>
      <w:sz w:val="16"/>
      <w:szCs w:val="16"/>
      <w:lang w:val="en-US" w:eastAsia="zh-CN" w:bidi="ar-SA"/>
    </w:rPr>
  </w:style>
  <w:style w:type="character" w:customStyle="1" w:styleId="75">
    <w:name w:val="正文文本缩进 2 Char"/>
    <w:link w:val="28"/>
    <w:qFormat/>
    <w:uiPriority w:val="0"/>
    <w:rPr>
      <w:rFonts w:eastAsia="宋体"/>
      <w:kern w:val="2"/>
      <w:sz w:val="32"/>
      <w:lang w:val="en-US" w:eastAsia="zh-CN" w:bidi="ar-SA"/>
    </w:rPr>
  </w:style>
  <w:style w:type="character" w:customStyle="1" w:styleId="76">
    <w:name w:val="正文文本 2 Char"/>
    <w:link w:val="43"/>
    <w:qFormat/>
    <w:uiPriority w:val="0"/>
    <w:rPr>
      <w:rFonts w:eastAsia="宋体"/>
      <w:kern w:val="2"/>
      <w:sz w:val="21"/>
      <w:szCs w:val="24"/>
      <w:lang w:val="en-US" w:eastAsia="zh-CN" w:bidi="ar-SA"/>
    </w:rPr>
  </w:style>
  <w:style w:type="character" w:customStyle="1" w:styleId="77">
    <w:name w:val="正文文本 3 Char"/>
    <w:link w:val="18"/>
    <w:qFormat/>
    <w:uiPriority w:val="0"/>
    <w:rPr>
      <w:rFonts w:eastAsia="宋体"/>
      <w:b/>
      <w:bCs/>
      <w:kern w:val="2"/>
      <w:sz w:val="24"/>
      <w:szCs w:val="24"/>
      <w:lang w:val="en-US" w:eastAsia="zh-CN" w:bidi="ar-SA"/>
    </w:rPr>
  </w:style>
  <w:style w:type="paragraph" w:customStyle="1" w:styleId="78">
    <w:name w:val="样式 首行缩进:  2 字符"/>
    <w:basedOn w:val="1"/>
    <w:qFormat/>
    <w:uiPriority w:val="0"/>
    <w:pPr>
      <w:spacing w:line="400" w:lineRule="exact"/>
      <w:ind w:firstLine="200" w:firstLineChars="200"/>
    </w:pPr>
    <w:rPr>
      <w:rFonts w:cs="宋体"/>
      <w:sz w:val="24"/>
    </w:rPr>
  </w:style>
  <w:style w:type="paragraph" w:styleId="79">
    <w:name w:val="List Paragraph"/>
    <w:basedOn w:val="1"/>
    <w:qFormat/>
    <w:uiPriority w:val="0"/>
    <w:pPr>
      <w:ind w:firstLine="420" w:firstLineChars="200"/>
    </w:pPr>
  </w:style>
  <w:style w:type="paragraph" w:customStyle="1" w:styleId="8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1">
    <w:name w:val="apple-converted-space"/>
    <w:basedOn w:val="51"/>
    <w:qFormat/>
    <w:uiPriority w:val="0"/>
  </w:style>
  <w:style w:type="character" w:customStyle="1" w:styleId="82">
    <w:name w:val="普通文字 Char Char2"/>
    <w:qFormat/>
    <w:uiPriority w:val="0"/>
    <w:rPr>
      <w:rFonts w:ascii="宋体" w:hAnsi="Courier New" w:eastAsia="宋体"/>
      <w:kern w:val="2"/>
      <w:sz w:val="21"/>
      <w:lang w:val="en-US" w:eastAsia="zh-CN" w:bidi="ar-SA"/>
    </w:rPr>
  </w:style>
  <w:style w:type="paragraph" w:customStyle="1" w:styleId="83">
    <w:name w:val="正文首行缩进两字符"/>
    <w:basedOn w:val="1"/>
    <w:qFormat/>
    <w:uiPriority w:val="0"/>
    <w:pPr>
      <w:spacing w:line="360" w:lineRule="auto"/>
      <w:ind w:firstLine="200" w:firstLineChars="200"/>
    </w:pPr>
  </w:style>
  <w:style w:type="paragraph" w:customStyle="1" w:styleId="8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5">
    <w:name w:val="默认段落字体 Para Char Char Char Char Char Char Char Char Char1 Char Char Char Char"/>
    <w:basedOn w:val="1"/>
    <w:qFormat/>
    <w:uiPriority w:val="0"/>
    <w:rPr>
      <w:rFonts w:ascii="Tahoma" w:hAnsi="Tahoma"/>
      <w:sz w:val="24"/>
      <w:szCs w:val="20"/>
    </w:rPr>
  </w:style>
  <w:style w:type="paragraph" w:customStyle="1" w:styleId="86">
    <w:name w:val="Char1"/>
    <w:basedOn w:val="1"/>
    <w:qFormat/>
    <w:uiPriority w:val="0"/>
    <w:rPr>
      <w:szCs w:val="21"/>
    </w:rPr>
  </w:style>
  <w:style w:type="paragraph" w:customStyle="1" w:styleId="87">
    <w:name w:val="表格"/>
    <w:basedOn w:val="1"/>
    <w:qFormat/>
    <w:uiPriority w:val="0"/>
    <w:pPr>
      <w:spacing w:line="400" w:lineRule="exact"/>
    </w:pPr>
    <w:rPr>
      <w:sz w:val="24"/>
    </w:rPr>
  </w:style>
  <w:style w:type="paragraph" w:customStyle="1" w:styleId="88">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89">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90">
    <w:name w:val="正文段"/>
    <w:basedOn w:val="1"/>
    <w:qFormat/>
    <w:uiPriority w:val="0"/>
    <w:pPr>
      <w:widowControl/>
      <w:snapToGrid w:val="0"/>
      <w:spacing w:afterLines="50"/>
      <w:ind w:firstLine="200" w:firstLineChars="200"/>
    </w:pPr>
    <w:rPr>
      <w:kern w:val="0"/>
      <w:sz w:val="24"/>
      <w:szCs w:val="20"/>
    </w:rPr>
  </w:style>
  <w:style w:type="paragraph" w:customStyle="1" w:styleId="9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2">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93">
    <w:name w:val="Char"/>
    <w:basedOn w:val="16"/>
    <w:semiHidden/>
    <w:qFormat/>
    <w:uiPriority w:val="0"/>
    <w:rPr>
      <w:rFonts w:ascii="Tahoma" w:hAnsi="Tahoma" w:cs="Tahoma"/>
      <w:kern w:val="0"/>
      <w:sz w:val="18"/>
    </w:rPr>
  </w:style>
  <w:style w:type="character" w:customStyle="1" w:styleId="94">
    <w:name w:val="正文首行缩进 Char"/>
    <w:link w:val="48"/>
    <w:qFormat/>
    <w:uiPriority w:val="0"/>
    <w:rPr>
      <w:rFonts w:ascii="宋体" w:hAnsi="Courier New" w:eastAsia="宋体" w:cs="Courier New"/>
      <w:szCs w:val="21"/>
    </w:rPr>
  </w:style>
  <w:style w:type="character" w:customStyle="1" w:styleId="95">
    <w:name w:val="标题 2 Char"/>
    <w:qFormat/>
    <w:uiPriority w:val="0"/>
    <w:rPr>
      <w:rFonts w:ascii="Cambria" w:hAnsi="Cambria" w:eastAsia="宋体" w:cs="Times New Roman"/>
      <w:b/>
      <w:bCs/>
      <w:color w:val="4F81BD"/>
      <w:kern w:val="2"/>
      <w:sz w:val="26"/>
      <w:szCs w:val="26"/>
    </w:rPr>
  </w:style>
  <w:style w:type="character" w:customStyle="1" w:styleId="96">
    <w:name w:val="Char Char18"/>
    <w:qFormat/>
    <w:uiPriority w:val="0"/>
    <w:rPr>
      <w:rFonts w:ascii="Calibri" w:hAnsi="Calibri" w:eastAsia="宋体" w:cs="Times New Roman"/>
      <w:b/>
      <w:bCs/>
      <w:sz w:val="28"/>
      <w:szCs w:val="28"/>
    </w:rPr>
  </w:style>
  <w:style w:type="character" w:customStyle="1" w:styleId="97">
    <w:name w:val="Char Char17"/>
    <w:qFormat/>
    <w:uiPriority w:val="0"/>
    <w:rPr>
      <w:rFonts w:ascii="Cambria" w:hAnsi="Cambria" w:eastAsia="宋体" w:cs="Times New Roman"/>
      <w:b/>
      <w:bCs/>
      <w:sz w:val="24"/>
      <w:szCs w:val="24"/>
    </w:rPr>
  </w:style>
  <w:style w:type="character" w:customStyle="1" w:styleId="98">
    <w:name w:val="Char Char16"/>
    <w:qFormat/>
    <w:uiPriority w:val="0"/>
    <w:rPr>
      <w:rFonts w:ascii="Calibri" w:hAnsi="Calibri" w:eastAsia="宋体" w:cs="Times New Roman"/>
      <w:b/>
      <w:bCs/>
      <w:sz w:val="24"/>
      <w:szCs w:val="24"/>
    </w:rPr>
  </w:style>
  <w:style w:type="character" w:customStyle="1" w:styleId="99">
    <w:name w:val="Char Char15"/>
    <w:qFormat/>
    <w:uiPriority w:val="0"/>
    <w:rPr>
      <w:rFonts w:ascii="Cambria" w:hAnsi="Cambria" w:eastAsia="宋体" w:cs="Times New Roman"/>
      <w:sz w:val="24"/>
      <w:szCs w:val="24"/>
    </w:rPr>
  </w:style>
  <w:style w:type="character" w:customStyle="1" w:styleId="100">
    <w:name w:val="Char Char14"/>
    <w:qFormat/>
    <w:uiPriority w:val="0"/>
    <w:rPr>
      <w:rFonts w:ascii="Cambria" w:hAnsi="Cambria" w:eastAsia="宋体" w:cs="Times New Roman"/>
      <w:sz w:val="21"/>
      <w:szCs w:val="21"/>
    </w:rPr>
  </w:style>
  <w:style w:type="character" w:customStyle="1" w:styleId="101">
    <w:name w:val="Char Char13"/>
    <w:qFormat/>
    <w:uiPriority w:val="0"/>
    <w:rPr>
      <w:rFonts w:ascii="Times New Roman" w:hAnsi="Times New Roman" w:eastAsia="宋体" w:cs="Times New Roman"/>
      <w:kern w:val="2"/>
      <w:sz w:val="18"/>
      <w:szCs w:val="18"/>
    </w:rPr>
  </w:style>
  <w:style w:type="character" w:customStyle="1" w:styleId="102">
    <w:name w:val="正文小标题 Char Char"/>
    <w:qFormat/>
    <w:uiPriority w:val="0"/>
    <w:rPr>
      <w:rFonts w:ascii="仿宋_GB2312" w:hAnsi="Times New Roman" w:eastAsia="仿宋_GB2312" w:cs="Times New Roman"/>
      <w:kern w:val="2"/>
      <w:sz w:val="32"/>
      <w:szCs w:val="20"/>
    </w:rPr>
  </w:style>
  <w:style w:type="character" w:customStyle="1" w:styleId="103">
    <w:name w:val="Char Char12"/>
    <w:qFormat/>
    <w:uiPriority w:val="0"/>
    <w:rPr>
      <w:rFonts w:ascii="Times New Roman" w:hAnsi="Times New Roman" w:eastAsia="宋体" w:cs="Times New Roman"/>
      <w:kern w:val="2"/>
      <w:sz w:val="18"/>
      <w:szCs w:val="18"/>
    </w:rPr>
  </w:style>
  <w:style w:type="paragraph" w:customStyle="1" w:styleId="10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05">
    <w:name w:val="默认段落字体 Para Char"/>
    <w:basedOn w:val="1"/>
    <w:qFormat/>
    <w:uiPriority w:val="0"/>
    <w:rPr>
      <w:rFonts w:ascii="宋体" w:hAnsi="宋体"/>
      <w:b/>
      <w:sz w:val="28"/>
      <w:szCs w:val="28"/>
    </w:rPr>
  </w:style>
  <w:style w:type="paragraph" w:customStyle="1" w:styleId="106">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07">
    <w:name w:val="表格文字"/>
    <w:basedOn w:val="1"/>
    <w:qFormat/>
    <w:uiPriority w:val="0"/>
    <w:pPr>
      <w:spacing w:before="25" w:after="25"/>
      <w:jc w:val="left"/>
    </w:pPr>
    <w:rPr>
      <w:bCs/>
      <w:spacing w:val="10"/>
      <w:kern w:val="0"/>
      <w:sz w:val="24"/>
      <w:szCs w:val="20"/>
    </w:rPr>
  </w:style>
  <w:style w:type="paragraph" w:customStyle="1" w:styleId="1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9">
    <w:name w:val="题注5"/>
    <w:basedOn w:val="1"/>
    <w:next w:val="15"/>
    <w:qFormat/>
    <w:uiPriority w:val="0"/>
    <w:pPr>
      <w:jc w:val="center"/>
    </w:pPr>
    <w:rPr>
      <w:b/>
      <w:color w:val="000000"/>
      <w:sz w:val="24"/>
      <w:szCs w:val="21"/>
    </w:rPr>
  </w:style>
  <w:style w:type="paragraph" w:customStyle="1" w:styleId="110">
    <w:name w:val="Char Char Char Char Char Char Char"/>
    <w:basedOn w:val="1"/>
    <w:qFormat/>
    <w:uiPriority w:val="0"/>
    <w:pPr>
      <w:tabs>
        <w:tab w:val="left" w:pos="425"/>
      </w:tabs>
      <w:ind w:left="425" w:hanging="425"/>
    </w:pPr>
    <w:rPr>
      <w:rFonts w:eastAsia="仿宋_GB2312"/>
      <w:kern w:val="24"/>
      <w:sz w:val="24"/>
    </w:rPr>
  </w:style>
  <w:style w:type="character" w:customStyle="1" w:styleId="111">
    <w:name w:val="Char Char11"/>
    <w:qFormat/>
    <w:uiPriority w:val="0"/>
    <w:rPr>
      <w:rFonts w:ascii="Times New Roman" w:hAnsi="Times New Roman" w:eastAsia="宋体" w:cs="Times New Roman"/>
      <w:kern w:val="2"/>
      <w:sz w:val="21"/>
      <w:szCs w:val="20"/>
    </w:rPr>
  </w:style>
  <w:style w:type="paragraph" w:customStyle="1" w:styleId="112">
    <w:name w:val="题注4"/>
    <w:basedOn w:val="1"/>
    <w:next w:val="15"/>
    <w:qFormat/>
    <w:uiPriority w:val="0"/>
    <w:pPr>
      <w:ind w:left="-132" w:leftChars="-64" w:right="-105" w:rightChars="-50" w:hanging="2"/>
      <w:jc w:val="center"/>
    </w:pPr>
    <w:rPr>
      <w:b/>
      <w:color w:val="FF0000"/>
      <w:szCs w:val="21"/>
      <w:lang w:val="en-GB"/>
    </w:rPr>
  </w:style>
  <w:style w:type="paragraph" w:customStyle="1" w:styleId="113">
    <w:name w:val="Char Char2 Char"/>
    <w:basedOn w:val="1"/>
    <w:qFormat/>
    <w:uiPriority w:val="0"/>
    <w:rPr>
      <w:rFonts w:ascii="宋体" w:hAnsi="宋体"/>
      <w:b/>
      <w:sz w:val="28"/>
      <w:szCs w:val="28"/>
    </w:rPr>
  </w:style>
  <w:style w:type="paragraph" w:customStyle="1" w:styleId="114">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6">
    <w:name w:val="办公自动化专用标题"/>
    <w:basedOn w:val="46"/>
    <w:qFormat/>
    <w:uiPriority w:val="0"/>
    <w:pPr>
      <w:spacing w:line="560" w:lineRule="atLeast"/>
    </w:pPr>
    <w:rPr>
      <w:rFonts w:ascii="宋体" w:hAnsi="Arial"/>
      <w:bCs w:val="0"/>
      <w:sz w:val="44"/>
      <w:szCs w:val="20"/>
    </w:rPr>
  </w:style>
  <w:style w:type="paragraph" w:customStyle="1" w:styleId="117">
    <w:name w:val="Zchn Zchn"/>
    <w:basedOn w:val="1"/>
    <w:qFormat/>
    <w:uiPriority w:val="0"/>
    <w:rPr>
      <w:rFonts w:ascii="Tahoma" w:hAnsi="Tahoma"/>
      <w:sz w:val="24"/>
      <w:szCs w:val="20"/>
    </w:rPr>
  </w:style>
  <w:style w:type="paragraph" w:customStyle="1" w:styleId="118">
    <w:name w:val="Char Char Char"/>
    <w:basedOn w:val="1"/>
    <w:qFormat/>
    <w:uiPriority w:val="0"/>
    <w:rPr>
      <w:rFonts w:ascii="Tahoma" w:hAnsi="Tahoma"/>
      <w:sz w:val="24"/>
      <w:szCs w:val="20"/>
    </w:rPr>
  </w:style>
  <w:style w:type="character" w:customStyle="1" w:styleId="119">
    <w:name w:val="fontorange1"/>
    <w:qFormat/>
    <w:uiPriority w:val="0"/>
    <w:rPr>
      <w:rFonts w:hint="default" w:ascii="ˎ̥" w:hAnsi="ˎ̥" w:eastAsia="宋体"/>
      <w:color w:val="FF6600"/>
      <w:kern w:val="2"/>
      <w:sz w:val="18"/>
      <w:szCs w:val="18"/>
      <w:lang w:val="en-US" w:eastAsia="zh-CN" w:bidi="ar-SA"/>
    </w:rPr>
  </w:style>
  <w:style w:type="character" w:customStyle="1" w:styleId="120">
    <w:name w:val="ca-12"/>
    <w:qFormat/>
    <w:uiPriority w:val="0"/>
    <w:rPr>
      <w:rFonts w:eastAsia="宋体" w:cs="Times New Roman"/>
      <w:kern w:val="2"/>
      <w:sz w:val="24"/>
      <w:szCs w:val="24"/>
      <w:lang w:val="en-US" w:eastAsia="zh-CN" w:bidi="ar-SA"/>
    </w:rPr>
  </w:style>
  <w:style w:type="paragraph" w:customStyle="1" w:styleId="121">
    <w:name w:val="Char Char2 Char Char Char Char Char"/>
    <w:basedOn w:val="1"/>
    <w:qFormat/>
    <w:uiPriority w:val="0"/>
    <w:pPr>
      <w:numPr>
        <w:ilvl w:val="0"/>
        <w:numId w:val="3"/>
      </w:numPr>
    </w:pPr>
    <w:rPr>
      <w:sz w:val="24"/>
    </w:rPr>
  </w:style>
  <w:style w:type="paragraph" w:customStyle="1" w:styleId="12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123">
    <w:name w:val="标题-3"/>
    <w:basedOn w:val="1"/>
    <w:link w:val="124"/>
    <w:qFormat/>
    <w:uiPriority w:val="0"/>
    <w:pPr>
      <w:spacing w:beforeLines="50" w:afterLines="50"/>
      <w:outlineLvl w:val="2"/>
    </w:pPr>
    <w:rPr>
      <w:rFonts w:ascii="宋体" w:hAnsi="宋体"/>
      <w:b/>
      <w:kern w:val="0"/>
      <w:sz w:val="24"/>
    </w:rPr>
  </w:style>
  <w:style w:type="character" w:customStyle="1" w:styleId="124">
    <w:name w:val="标题-3 Char"/>
    <w:link w:val="123"/>
    <w:qFormat/>
    <w:uiPriority w:val="0"/>
    <w:rPr>
      <w:rFonts w:ascii="宋体" w:hAnsi="宋体" w:eastAsia="宋体"/>
      <w:b/>
      <w:sz w:val="24"/>
      <w:szCs w:val="24"/>
      <w:lang w:bidi="ar-SA"/>
    </w:rPr>
  </w:style>
  <w:style w:type="paragraph" w:customStyle="1" w:styleId="125">
    <w:name w:val="Char Char Char Char"/>
    <w:basedOn w:val="1"/>
    <w:qFormat/>
    <w:uiPriority w:val="0"/>
    <w:pPr>
      <w:tabs>
        <w:tab w:val="left" w:pos="780"/>
      </w:tabs>
      <w:ind w:left="780" w:hanging="360"/>
    </w:pPr>
    <w:rPr>
      <w:sz w:val="24"/>
    </w:rPr>
  </w:style>
  <w:style w:type="paragraph" w:customStyle="1" w:styleId="12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27">
    <w:name w:val="修订1"/>
    <w:hidden/>
    <w:semiHidden/>
    <w:qFormat/>
    <w:uiPriority w:val="0"/>
    <w:rPr>
      <w:rFonts w:ascii="Times New Roman" w:hAnsi="Times New Roman" w:eastAsia="宋体" w:cs="Times New Roman"/>
      <w:kern w:val="2"/>
      <w:sz w:val="21"/>
      <w:szCs w:val="24"/>
      <w:lang w:val="en-US" w:eastAsia="zh-CN" w:bidi="ar-SA"/>
    </w:rPr>
  </w:style>
  <w:style w:type="character" w:customStyle="1" w:styleId="128">
    <w:name w:val="2nd level Char"/>
    <w:qFormat/>
    <w:uiPriority w:val="0"/>
    <w:rPr>
      <w:rFonts w:ascii="Arial" w:hAnsi="Arial" w:eastAsia="黑体" w:cs="Times New Roman"/>
      <w:b/>
      <w:bCs/>
      <w:kern w:val="2"/>
      <w:sz w:val="32"/>
      <w:szCs w:val="32"/>
    </w:rPr>
  </w:style>
  <w:style w:type="character" w:customStyle="1" w:styleId="129">
    <w:name w:val="Char Char171"/>
    <w:qFormat/>
    <w:uiPriority w:val="0"/>
    <w:rPr>
      <w:rFonts w:ascii="Calibri" w:hAnsi="Calibri" w:eastAsia="宋体" w:cs="Times New Roman"/>
      <w:b/>
      <w:bCs/>
      <w:kern w:val="2"/>
      <w:sz w:val="32"/>
      <w:szCs w:val="32"/>
      <w:lang w:val="en-US" w:eastAsia="zh-CN" w:bidi="ar-SA"/>
    </w:rPr>
  </w:style>
  <w:style w:type="character" w:customStyle="1" w:styleId="130">
    <w:name w:val="Char Char9"/>
    <w:qFormat/>
    <w:uiPriority w:val="0"/>
    <w:rPr>
      <w:rFonts w:ascii="Calibri" w:hAnsi="Calibri" w:eastAsia="宋体" w:cs="Times New Roman"/>
      <w:kern w:val="2"/>
      <w:sz w:val="18"/>
      <w:szCs w:val="18"/>
      <w:lang w:val="en-US" w:eastAsia="zh-CN" w:bidi="ar-SA"/>
    </w:rPr>
  </w:style>
  <w:style w:type="paragraph" w:customStyle="1" w:styleId="131">
    <w:name w:val="List Paragraph1"/>
    <w:basedOn w:val="1"/>
    <w:qFormat/>
    <w:uiPriority w:val="0"/>
    <w:pPr>
      <w:widowControl/>
      <w:spacing w:after="200" w:line="276" w:lineRule="auto"/>
      <w:ind w:left="720"/>
      <w:jc w:val="left"/>
    </w:pPr>
    <w:rPr>
      <w:rFonts w:ascii="Calibri" w:hAnsi="Calibri"/>
      <w:kern w:val="0"/>
      <w:sz w:val="22"/>
      <w:szCs w:val="22"/>
    </w:rPr>
  </w:style>
  <w:style w:type="character" w:customStyle="1" w:styleId="132">
    <w:name w:val="无缩进 Char"/>
    <w:qFormat/>
    <w:uiPriority w:val="0"/>
    <w:rPr>
      <w:rFonts w:ascii="Times New Roman" w:hAnsi="Times New Roman" w:eastAsia="宋体" w:cs="Times New Roman"/>
      <w:kern w:val="2"/>
      <w:sz w:val="21"/>
      <w:szCs w:val="20"/>
    </w:rPr>
  </w:style>
  <w:style w:type="character" w:customStyle="1" w:styleId="133">
    <w:name w:val="short_text"/>
    <w:qFormat/>
    <w:uiPriority w:val="0"/>
    <w:rPr>
      <w:rFonts w:eastAsia="宋体"/>
      <w:kern w:val="2"/>
      <w:sz w:val="24"/>
      <w:szCs w:val="24"/>
      <w:lang w:val="en-US" w:eastAsia="zh-CN" w:bidi="ar-SA"/>
    </w:rPr>
  </w:style>
  <w:style w:type="paragraph" w:customStyle="1" w:styleId="134">
    <w:name w:val="TOC 标题1"/>
    <w:basedOn w:val="3"/>
    <w:next w:val="1"/>
    <w:qFormat/>
    <w:uiPriority w:val="0"/>
    <w:pPr>
      <w:widowControl/>
      <w:numPr>
        <w:ilvl w:val="0"/>
        <w:numId w:val="4"/>
      </w:numPr>
      <w:spacing w:before="480" w:after="0" w:line="276" w:lineRule="auto"/>
      <w:jc w:val="left"/>
      <w:outlineLvl w:val="9"/>
    </w:pPr>
    <w:rPr>
      <w:rFonts w:ascii="Cambria" w:hAnsi="Cambria"/>
      <w:color w:val="365F91"/>
      <w:kern w:val="0"/>
      <w:sz w:val="28"/>
      <w:szCs w:val="28"/>
    </w:rPr>
  </w:style>
  <w:style w:type="paragraph" w:customStyle="1" w:styleId="135">
    <w:name w:val="Copyright"/>
    <w:basedOn w:val="1"/>
    <w:qFormat/>
    <w:uiPriority w:val="0"/>
    <w:pPr>
      <w:widowControl/>
      <w:spacing w:before="480" w:after="60"/>
      <w:jc w:val="center"/>
    </w:pPr>
    <w:rPr>
      <w:rFonts w:ascii="Trebuchet MS" w:hAnsi="Trebuchet MS" w:cs="Trebuchet MS"/>
      <w:b/>
      <w:color w:val="042D56"/>
      <w:kern w:val="0"/>
      <w:sz w:val="20"/>
      <w:lang w:val="en-AU" w:eastAsia="en-AU"/>
    </w:rPr>
  </w:style>
  <w:style w:type="paragraph" w:customStyle="1" w:styleId="136">
    <w:name w:val="四级标题"/>
    <w:basedOn w:val="1"/>
    <w:link w:val="137"/>
    <w:qFormat/>
    <w:uiPriority w:val="0"/>
    <w:pPr>
      <w:numPr>
        <w:ilvl w:val="0"/>
        <w:numId w:val="5"/>
      </w:numPr>
      <w:spacing w:line="360" w:lineRule="auto"/>
      <w:outlineLvl w:val="3"/>
    </w:pPr>
    <w:rPr>
      <w:rFonts w:ascii="Calibri" w:hAnsi="Calibri" w:eastAsia="黑体"/>
      <w:b/>
      <w:sz w:val="28"/>
      <w:szCs w:val="20"/>
    </w:rPr>
  </w:style>
  <w:style w:type="character" w:customStyle="1" w:styleId="137">
    <w:name w:val="四级标题 Char"/>
    <w:link w:val="136"/>
    <w:qFormat/>
    <w:uiPriority w:val="0"/>
    <w:rPr>
      <w:rFonts w:eastAsia="黑体"/>
      <w:b/>
      <w:kern w:val="2"/>
      <w:sz w:val="28"/>
      <w:lang w:bidi="ar-SA"/>
    </w:rPr>
  </w:style>
  <w:style w:type="paragraph" w:customStyle="1" w:styleId="138">
    <w:name w:val="五级标题"/>
    <w:basedOn w:val="1"/>
    <w:link w:val="139"/>
    <w:qFormat/>
    <w:uiPriority w:val="0"/>
    <w:pPr>
      <w:numPr>
        <w:ilvl w:val="0"/>
        <w:numId w:val="6"/>
      </w:numPr>
      <w:spacing w:line="360" w:lineRule="auto"/>
      <w:outlineLvl w:val="4"/>
    </w:pPr>
    <w:rPr>
      <w:rFonts w:ascii="Calibri" w:hAnsi="Calibri" w:eastAsia="黑体"/>
      <w:b/>
      <w:sz w:val="28"/>
      <w:szCs w:val="20"/>
    </w:rPr>
  </w:style>
  <w:style w:type="character" w:customStyle="1" w:styleId="139">
    <w:name w:val="五级标题 Char"/>
    <w:link w:val="138"/>
    <w:qFormat/>
    <w:uiPriority w:val="0"/>
    <w:rPr>
      <w:rFonts w:eastAsia="黑体"/>
      <w:b/>
      <w:kern w:val="2"/>
      <w:sz w:val="28"/>
      <w:lang w:bidi="ar-SA"/>
    </w:rPr>
  </w:style>
  <w:style w:type="paragraph" w:customStyle="1" w:styleId="140">
    <w:name w:val="Char Char Char Char Char Char"/>
    <w:basedOn w:val="1"/>
    <w:qFormat/>
    <w:uiPriority w:val="0"/>
    <w:pPr>
      <w:widowControl/>
      <w:spacing w:before="100" w:beforeAutospacing="1" w:after="100" w:afterAutospacing="1" w:line="330" w:lineRule="atLeast"/>
      <w:ind w:left="360"/>
      <w:jc w:val="left"/>
    </w:pPr>
    <w:rPr>
      <w:rFonts w:ascii="ˎ̥" w:hAnsi="ˎ̥" w:cs="宋体"/>
      <w:color w:val="51585D"/>
      <w:kern w:val="0"/>
      <w:sz w:val="20"/>
      <w:szCs w:val="18"/>
    </w:rPr>
  </w:style>
  <w:style w:type="paragraph" w:customStyle="1" w:styleId="141">
    <w:name w:val="招标文件样式2"/>
    <w:basedOn w:val="1"/>
    <w:qFormat/>
    <w:uiPriority w:val="0"/>
    <w:pPr>
      <w:jc w:val="center"/>
      <w:outlineLvl w:val="0"/>
    </w:pPr>
    <w:rPr>
      <w:rFonts w:ascii="宋体" w:hAnsi="宋体"/>
      <w:b/>
      <w:sz w:val="28"/>
      <w:szCs w:val="28"/>
    </w:rPr>
  </w:style>
  <w:style w:type="paragraph" w:customStyle="1" w:styleId="14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27</Pages>
  <Words>2461</Words>
  <Characters>14033</Characters>
  <Lines>116</Lines>
  <Paragraphs>32</Paragraphs>
  <TotalTime>0</TotalTime>
  <ScaleCrop>false</ScaleCrop>
  <LinksUpToDate>false</LinksUpToDate>
  <CharactersWithSpaces>16462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2017-07-11T03:35:00Z</dcterms:created>
  <dc:creator>唐冰</dc:creator>
  <cp:lastModifiedBy>庞东牌</cp:lastModifiedBy>
  <cp:lastPrinted>2019-06-01T00:22:00Z</cp:lastPrinted>
  <dcterms:modified xsi:type="dcterms:W3CDTF">2020-05-26T03:37:52Z</dcterms:modified>
  <dc:title>竞争性谈判文件规范</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